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1290" w14:textId="77777777" w:rsidR="00004D09" w:rsidRPr="00BC733E" w:rsidRDefault="00004D09">
      <w:pPr>
        <w:framePr w:w="11920" w:h="428" w:hSpace="141" w:wrap="around" w:vAnchor="text" w:hAnchor="page" w:x="1" w:y="-836"/>
        <w:jc w:val="center"/>
        <w:rPr>
          <w:rFonts w:ascii="Book Antiqua" w:hAnsi="Book Antiqua"/>
          <w:b/>
          <w:sz w:val="56"/>
          <w:szCs w:val="56"/>
        </w:rPr>
      </w:pPr>
      <w:r w:rsidRPr="00BC733E">
        <w:rPr>
          <w:rFonts w:ascii="Book Antiqua" w:hAnsi="Book Antiqua"/>
          <w:b/>
          <w:sz w:val="56"/>
          <w:szCs w:val="56"/>
        </w:rPr>
        <w:t>Narren - Zunft Schielberg 1953 e.V.</w:t>
      </w:r>
      <w:r w:rsidRPr="00BC733E">
        <w:rPr>
          <w:rFonts w:ascii="Book Antiqua" w:hAnsi="Book Antiqua"/>
          <w:b/>
          <w:sz w:val="56"/>
          <w:szCs w:val="56"/>
        </w:rPr>
        <w:br/>
      </w:r>
      <w:r w:rsidRPr="00BC733E">
        <w:rPr>
          <w:rFonts w:ascii="Book Antiqua" w:hAnsi="Book Antiqua"/>
          <w:b/>
          <w:sz w:val="28"/>
          <w:szCs w:val="28"/>
        </w:rPr>
        <w:t>Belzenmärdel  –  Buchholzhexen  –  Elferrat  –  Guggenmusik  –  Tanzgarden</w:t>
      </w:r>
    </w:p>
    <w:p w14:paraId="4363FCDF" w14:textId="3C9107DB" w:rsidR="009D51D9" w:rsidRDefault="00A50CE0" w:rsidP="00D11A60">
      <w:pPr>
        <w:jc w:val="center"/>
        <w:rPr>
          <w:rFonts w:ascii="Book Antiqua" w:hAnsi="Book Antiqua"/>
          <w:b/>
          <w:sz w:val="28"/>
          <w:szCs w:val="28"/>
        </w:rPr>
      </w:pPr>
      <w:bookmarkStart w:id="0" w:name="anschr1"/>
      <w:bookmarkEnd w:id="0"/>
      <w:r>
        <w:rPr>
          <w:rFonts w:ascii="Book Antiqua" w:hAnsi="Book Antiqua"/>
          <w:b/>
          <w:noProof/>
          <w:sz w:val="28"/>
          <w:szCs w:val="28"/>
        </w:rPr>
        <w:drawing>
          <wp:inline distT="0" distB="0" distL="0" distR="0" wp14:anchorId="7AC3DE26" wp14:editId="319F0509">
            <wp:extent cx="2238375" cy="11620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1162050"/>
                    </a:xfrm>
                    <a:prstGeom prst="rect">
                      <a:avLst/>
                    </a:prstGeom>
                    <a:noFill/>
                  </pic:spPr>
                </pic:pic>
              </a:graphicData>
            </a:graphic>
          </wp:inline>
        </w:drawing>
      </w:r>
    </w:p>
    <w:p w14:paraId="6DE8D9B1" w14:textId="77777777" w:rsidR="00686BCF" w:rsidRDefault="00686BCF" w:rsidP="009D51D9">
      <w:pPr>
        <w:jc w:val="both"/>
        <w:rPr>
          <w:rFonts w:ascii="Book Antiqua" w:hAnsi="Book Antiqua"/>
          <w:b/>
          <w:sz w:val="28"/>
          <w:szCs w:val="28"/>
        </w:rPr>
      </w:pPr>
    </w:p>
    <w:p w14:paraId="18F43D9C" w14:textId="77777777" w:rsidR="00D11A60" w:rsidRDefault="00B8395C" w:rsidP="009D51D9">
      <w:pPr>
        <w:jc w:val="both"/>
        <w:rPr>
          <w:rFonts w:ascii="Book Antiqua" w:hAnsi="Book Antiqua"/>
          <w:b/>
          <w:sz w:val="28"/>
          <w:szCs w:val="28"/>
        </w:rPr>
      </w:pPr>
      <w:r>
        <w:rPr>
          <w:rFonts w:ascii="Book Antiqua" w:hAnsi="Book Antiqua"/>
          <w:b/>
          <w:sz w:val="28"/>
          <w:szCs w:val="28"/>
        </w:rPr>
        <w:t xml:space="preserve"> </w:t>
      </w:r>
      <w:r w:rsidR="00DA1D47">
        <w:rPr>
          <w:rFonts w:ascii="Book Antiqua" w:hAnsi="Book Antiqua"/>
          <w:b/>
          <w:sz w:val="28"/>
          <w:szCs w:val="28"/>
        </w:rPr>
        <w:t>Meldebogen Umzugsfahrzeuge 202</w:t>
      </w:r>
      <w:r w:rsidR="00060220">
        <w:rPr>
          <w:rFonts w:ascii="Book Antiqua" w:hAnsi="Book Antiqua"/>
          <w:b/>
          <w:sz w:val="28"/>
          <w:szCs w:val="28"/>
        </w:rPr>
        <w:t>6</w:t>
      </w:r>
    </w:p>
    <w:p w14:paraId="6CEC4922" w14:textId="77777777" w:rsidR="00DA1D47" w:rsidRDefault="00DA1D47" w:rsidP="00DA1D47">
      <w:pPr>
        <w:autoSpaceDE w:val="0"/>
        <w:autoSpaceDN w:val="0"/>
        <w:adjustRightInd w:val="0"/>
        <w:rPr>
          <w:rFonts w:ascii="Calibri-Bold" w:hAnsi="Calibri-Bold" w:cs="Calibri-Bold"/>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387"/>
      </w:tblGrid>
      <w:tr w:rsidR="00DA1D47" w:rsidRPr="00797497" w14:paraId="0DD1CC5E" w14:textId="77777777" w:rsidTr="00686BCF">
        <w:tc>
          <w:tcPr>
            <w:tcW w:w="9464" w:type="dxa"/>
            <w:gridSpan w:val="2"/>
            <w:shd w:val="clear" w:color="auto" w:fill="D9D9D9"/>
          </w:tcPr>
          <w:p w14:paraId="3FBE97C9" w14:textId="77777777" w:rsidR="00DA1D47" w:rsidRPr="00797497" w:rsidRDefault="00DA1D47" w:rsidP="00797497">
            <w:pPr>
              <w:autoSpaceDE w:val="0"/>
              <w:autoSpaceDN w:val="0"/>
              <w:adjustRightInd w:val="0"/>
              <w:rPr>
                <w:rFonts w:ascii="Book Antiqua" w:hAnsi="Book Antiqua" w:cs="Calibri-Bold"/>
                <w:b/>
                <w:bCs/>
                <w:sz w:val="24"/>
                <w:szCs w:val="24"/>
              </w:rPr>
            </w:pPr>
            <w:r w:rsidRPr="00797497">
              <w:rPr>
                <w:rFonts w:ascii="Book Antiqua" w:hAnsi="Book Antiqua" w:cs="Calibri-Bold"/>
                <w:b/>
                <w:bCs/>
                <w:sz w:val="24"/>
                <w:szCs w:val="24"/>
              </w:rPr>
              <w:t>Angaben zur Zunft / Gruppe</w:t>
            </w:r>
          </w:p>
        </w:tc>
      </w:tr>
      <w:tr w:rsidR="0068204F" w:rsidRPr="00797497" w14:paraId="2D4EEA9F" w14:textId="77777777" w:rsidTr="00686BCF">
        <w:tc>
          <w:tcPr>
            <w:tcW w:w="4077" w:type="dxa"/>
          </w:tcPr>
          <w:p w14:paraId="4499FD87" w14:textId="77777777" w:rsidR="00DA1D47" w:rsidRPr="00797497" w:rsidRDefault="00DA1D47" w:rsidP="00797497">
            <w:pPr>
              <w:autoSpaceDE w:val="0"/>
              <w:autoSpaceDN w:val="0"/>
              <w:adjustRightInd w:val="0"/>
              <w:rPr>
                <w:rFonts w:ascii="Book Antiqua" w:hAnsi="Book Antiqua" w:cs="Calibri-Bold"/>
                <w:sz w:val="24"/>
                <w:szCs w:val="24"/>
              </w:rPr>
            </w:pPr>
            <w:r w:rsidRPr="00797497">
              <w:rPr>
                <w:rFonts w:ascii="Book Antiqua" w:hAnsi="Book Antiqua" w:cs="Calibri-Bold"/>
                <w:sz w:val="24"/>
                <w:szCs w:val="24"/>
              </w:rPr>
              <w:t>Name</w:t>
            </w:r>
          </w:p>
        </w:tc>
        <w:tc>
          <w:tcPr>
            <w:tcW w:w="5387" w:type="dxa"/>
          </w:tcPr>
          <w:p w14:paraId="629FF38A" w14:textId="77777777" w:rsidR="00DA1D47" w:rsidRPr="00797497" w:rsidRDefault="00DA1D47" w:rsidP="00797497">
            <w:pPr>
              <w:autoSpaceDE w:val="0"/>
              <w:autoSpaceDN w:val="0"/>
              <w:adjustRightInd w:val="0"/>
              <w:rPr>
                <w:rFonts w:ascii="Book Antiqua" w:hAnsi="Book Antiqua" w:cs="Calibri-Bold"/>
                <w:b/>
                <w:bCs/>
                <w:sz w:val="24"/>
                <w:szCs w:val="24"/>
              </w:rPr>
            </w:pPr>
          </w:p>
        </w:tc>
      </w:tr>
      <w:tr w:rsidR="0068204F" w:rsidRPr="00797497" w14:paraId="4EA46949" w14:textId="77777777" w:rsidTr="00686BCF">
        <w:tc>
          <w:tcPr>
            <w:tcW w:w="4077" w:type="dxa"/>
          </w:tcPr>
          <w:p w14:paraId="478BA868" w14:textId="77777777" w:rsidR="00DA1D47" w:rsidRPr="00797497" w:rsidRDefault="00DA1D47" w:rsidP="00797497">
            <w:pPr>
              <w:autoSpaceDE w:val="0"/>
              <w:autoSpaceDN w:val="0"/>
              <w:adjustRightInd w:val="0"/>
              <w:rPr>
                <w:rFonts w:ascii="Book Antiqua" w:hAnsi="Book Antiqua" w:cs="Calibri-Bold"/>
                <w:sz w:val="24"/>
                <w:szCs w:val="24"/>
              </w:rPr>
            </w:pPr>
            <w:r w:rsidRPr="00797497">
              <w:rPr>
                <w:rFonts w:ascii="Book Antiqua" w:hAnsi="Book Antiqua" w:cs="Calibri-Bold"/>
                <w:sz w:val="24"/>
                <w:szCs w:val="24"/>
              </w:rPr>
              <w:t>Verantwortliche(r)</w:t>
            </w:r>
          </w:p>
        </w:tc>
        <w:tc>
          <w:tcPr>
            <w:tcW w:w="5387" w:type="dxa"/>
          </w:tcPr>
          <w:p w14:paraId="53C88508" w14:textId="77777777" w:rsidR="00DA1D47" w:rsidRPr="00797497" w:rsidRDefault="00DA1D47" w:rsidP="00797497">
            <w:pPr>
              <w:autoSpaceDE w:val="0"/>
              <w:autoSpaceDN w:val="0"/>
              <w:adjustRightInd w:val="0"/>
              <w:rPr>
                <w:rFonts w:ascii="Book Antiqua" w:hAnsi="Book Antiqua" w:cs="Calibri-Bold"/>
                <w:b/>
                <w:bCs/>
                <w:sz w:val="24"/>
                <w:szCs w:val="24"/>
              </w:rPr>
            </w:pPr>
          </w:p>
        </w:tc>
      </w:tr>
      <w:tr w:rsidR="00DA1D47" w:rsidRPr="00797497" w14:paraId="70F4DE00" w14:textId="77777777" w:rsidTr="00686BCF">
        <w:tc>
          <w:tcPr>
            <w:tcW w:w="9464" w:type="dxa"/>
            <w:gridSpan w:val="2"/>
            <w:shd w:val="clear" w:color="auto" w:fill="D9D9D9"/>
          </w:tcPr>
          <w:p w14:paraId="1467E625" w14:textId="77777777" w:rsidR="00DA1D47" w:rsidRPr="00797497" w:rsidRDefault="00DA1D47" w:rsidP="00797497">
            <w:pPr>
              <w:autoSpaceDE w:val="0"/>
              <w:autoSpaceDN w:val="0"/>
              <w:adjustRightInd w:val="0"/>
              <w:rPr>
                <w:rFonts w:ascii="Book Antiqua" w:hAnsi="Book Antiqua" w:cs="Calibri-Bold"/>
                <w:b/>
                <w:bCs/>
                <w:sz w:val="24"/>
                <w:szCs w:val="24"/>
              </w:rPr>
            </w:pPr>
            <w:r w:rsidRPr="00797497">
              <w:rPr>
                <w:rFonts w:ascii="Book Antiqua" w:hAnsi="Book Antiqua" w:cs="Calibri-Bold"/>
                <w:b/>
                <w:bCs/>
                <w:sz w:val="24"/>
                <w:szCs w:val="24"/>
              </w:rPr>
              <w:t>Angaben zum Fahrer</w:t>
            </w:r>
          </w:p>
        </w:tc>
      </w:tr>
      <w:tr w:rsidR="0068204F" w:rsidRPr="00797497" w14:paraId="24BB023D" w14:textId="77777777" w:rsidTr="00686BCF">
        <w:tc>
          <w:tcPr>
            <w:tcW w:w="4077" w:type="dxa"/>
          </w:tcPr>
          <w:p w14:paraId="7CF5878E" w14:textId="77777777" w:rsidR="00DA1D47" w:rsidRPr="00797497" w:rsidRDefault="00DA1D47" w:rsidP="00797497">
            <w:pPr>
              <w:autoSpaceDE w:val="0"/>
              <w:autoSpaceDN w:val="0"/>
              <w:adjustRightInd w:val="0"/>
              <w:rPr>
                <w:rFonts w:ascii="Book Antiqua" w:hAnsi="Book Antiqua" w:cs="Calibri-Bold"/>
                <w:sz w:val="24"/>
                <w:szCs w:val="24"/>
              </w:rPr>
            </w:pPr>
            <w:r w:rsidRPr="00797497">
              <w:rPr>
                <w:rFonts w:ascii="Book Antiqua" w:hAnsi="Book Antiqua" w:cs="Calibri-Bold"/>
                <w:sz w:val="24"/>
                <w:szCs w:val="24"/>
              </w:rPr>
              <w:t>Name, Vorname</w:t>
            </w:r>
          </w:p>
        </w:tc>
        <w:tc>
          <w:tcPr>
            <w:tcW w:w="5387" w:type="dxa"/>
          </w:tcPr>
          <w:p w14:paraId="725E3F9B" w14:textId="77777777" w:rsidR="00DA1D47" w:rsidRPr="00797497" w:rsidRDefault="00DA1D47" w:rsidP="00797497">
            <w:pPr>
              <w:autoSpaceDE w:val="0"/>
              <w:autoSpaceDN w:val="0"/>
              <w:adjustRightInd w:val="0"/>
              <w:rPr>
                <w:rFonts w:ascii="Book Antiqua" w:hAnsi="Book Antiqua" w:cs="Calibri-Bold"/>
                <w:b/>
                <w:bCs/>
                <w:sz w:val="24"/>
                <w:szCs w:val="24"/>
              </w:rPr>
            </w:pPr>
          </w:p>
        </w:tc>
      </w:tr>
      <w:tr w:rsidR="0068204F" w:rsidRPr="00797497" w14:paraId="71A0873D" w14:textId="77777777" w:rsidTr="00686BCF">
        <w:tc>
          <w:tcPr>
            <w:tcW w:w="4077" w:type="dxa"/>
          </w:tcPr>
          <w:p w14:paraId="3551AB6A" w14:textId="77777777" w:rsidR="00DA1D47" w:rsidRPr="00797497" w:rsidRDefault="00DA1D47" w:rsidP="00797497">
            <w:pPr>
              <w:autoSpaceDE w:val="0"/>
              <w:autoSpaceDN w:val="0"/>
              <w:adjustRightInd w:val="0"/>
              <w:rPr>
                <w:rFonts w:ascii="Book Antiqua" w:hAnsi="Book Antiqua" w:cs="Calibri-Bold"/>
                <w:sz w:val="24"/>
                <w:szCs w:val="24"/>
              </w:rPr>
            </w:pPr>
            <w:r w:rsidRPr="00797497">
              <w:rPr>
                <w:rFonts w:ascii="Book Antiqua" w:hAnsi="Book Antiqua" w:cs="Calibri-Bold"/>
                <w:sz w:val="24"/>
                <w:szCs w:val="24"/>
              </w:rPr>
              <w:t>Straße</w:t>
            </w:r>
          </w:p>
        </w:tc>
        <w:tc>
          <w:tcPr>
            <w:tcW w:w="5387" w:type="dxa"/>
          </w:tcPr>
          <w:p w14:paraId="1929BF67" w14:textId="77777777" w:rsidR="00DA1D47" w:rsidRPr="00797497" w:rsidRDefault="00DA1D47" w:rsidP="00797497">
            <w:pPr>
              <w:autoSpaceDE w:val="0"/>
              <w:autoSpaceDN w:val="0"/>
              <w:adjustRightInd w:val="0"/>
              <w:rPr>
                <w:rFonts w:ascii="Book Antiqua" w:hAnsi="Book Antiqua" w:cs="Calibri-Bold"/>
                <w:b/>
                <w:bCs/>
                <w:sz w:val="24"/>
                <w:szCs w:val="24"/>
              </w:rPr>
            </w:pPr>
          </w:p>
        </w:tc>
      </w:tr>
      <w:tr w:rsidR="00686BCF" w:rsidRPr="00797497" w14:paraId="4A0764B9" w14:textId="77777777" w:rsidTr="00686BCF">
        <w:tc>
          <w:tcPr>
            <w:tcW w:w="4077" w:type="dxa"/>
          </w:tcPr>
          <w:p w14:paraId="36713189" w14:textId="77777777" w:rsidR="00DA1D47" w:rsidRPr="00797497" w:rsidRDefault="00DA1D47" w:rsidP="00797497">
            <w:pPr>
              <w:autoSpaceDE w:val="0"/>
              <w:autoSpaceDN w:val="0"/>
              <w:adjustRightInd w:val="0"/>
              <w:rPr>
                <w:rFonts w:ascii="Book Antiqua" w:hAnsi="Book Antiqua" w:cs="Calibri-Bold"/>
                <w:sz w:val="24"/>
                <w:szCs w:val="24"/>
              </w:rPr>
            </w:pPr>
            <w:r w:rsidRPr="00797497">
              <w:rPr>
                <w:rFonts w:ascii="Book Antiqua" w:hAnsi="Book Antiqua" w:cs="Calibri-Bold"/>
                <w:sz w:val="24"/>
                <w:szCs w:val="24"/>
              </w:rPr>
              <w:t>PLZ, Ort</w:t>
            </w:r>
          </w:p>
        </w:tc>
        <w:tc>
          <w:tcPr>
            <w:tcW w:w="5387" w:type="dxa"/>
          </w:tcPr>
          <w:p w14:paraId="2F8630B5" w14:textId="77777777" w:rsidR="00DA1D47" w:rsidRPr="00797497" w:rsidRDefault="00DA1D47" w:rsidP="00797497">
            <w:pPr>
              <w:autoSpaceDE w:val="0"/>
              <w:autoSpaceDN w:val="0"/>
              <w:adjustRightInd w:val="0"/>
              <w:rPr>
                <w:rFonts w:ascii="Book Antiqua" w:hAnsi="Book Antiqua" w:cs="Calibri-Bold"/>
                <w:b/>
                <w:bCs/>
                <w:sz w:val="24"/>
                <w:szCs w:val="24"/>
              </w:rPr>
            </w:pPr>
          </w:p>
        </w:tc>
      </w:tr>
      <w:tr w:rsidR="00686BCF" w:rsidRPr="00797497" w14:paraId="64B8AE63" w14:textId="77777777" w:rsidTr="00686BCF">
        <w:tc>
          <w:tcPr>
            <w:tcW w:w="4077" w:type="dxa"/>
          </w:tcPr>
          <w:p w14:paraId="18AFE64D" w14:textId="77777777" w:rsidR="00DA1D47" w:rsidRPr="00797497" w:rsidRDefault="00DA1D47" w:rsidP="00797497">
            <w:pPr>
              <w:autoSpaceDE w:val="0"/>
              <w:autoSpaceDN w:val="0"/>
              <w:adjustRightInd w:val="0"/>
              <w:rPr>
                <w:rFonts w:ascii="Book Antiqua" w:hAnsi="Book Antiqua" w:cs="Calibri-Bold"/>
                <w:sz w:val="24"/>
                <w:szCs w:val="24"/>
              </w:rPr>
            </w:pPr>
            <w:r w:rsidRPr="00797497">
              <w:rPr>
                <w:rFonts w:ascii="Book Antiqua" w:hAnsi="Book Antiqua" w:cs="Calibri-Bold"/>
                <w:sz w:val="24"/>
                <w:szCs w:val="24"/>
              </w:rPr>
              <w:t>Telefon</w:t>
            </w:r>
          </w:p>
        </w:tc>
        <w:tc>
          <w:tcPr>
            <w:tcW w:w="5387" w:type="dxa"/>
          </w:tcPr>
          <w:p w14:paraId="2F22CA53" w14:textId="77777777" w:rsidR="00DA1D47" w:rsidRPr="00797497" w:rsidRDefault="00DA1D47" w:rsidP="00797497">
            <w:pPr>
              <w:autoSpaceDE w:val="0"/>
              <w:autoSpaceDN w:val="0"/>
              <w:adjustRightInd w:val="0"/>
              <w:rPr>
                <w:rFonts w:ascii="Book Antiqua" w:hAnsi="Book Antiqua" w:cs="Calibri-Bold"/>
                <w:b/>
                <w:bCs/>
                <w:sz w:val="24"/>
                <w:szCs w:val="24"/>
              </w:rPr>
            </w:pPr>
          </w:p>
        </w:tc>
      </w:tr>
      <w:tr w:rsidR="00DA1D47" w:rsidRPr="00797497" w14:paraId="531D59CE" w14:textId="77777777" w:rsidTr="00686BCF">
        <w:tc>
          <w:tcPr>
            <w:tcW w:w="9464" w:type="dxa"/>
            <w:gridSpan w:val="2"/>
            <w:shd w:val="clear" w:color="auto" w:fill="D9D9D9"/>
          </w:tcPr>
          <w:p w14:paraId="1C06FCCF" w14:textId="77777777" w:rsidR="00DA1D47" w:rsidRPr="00797497" w:rsidRDefault="00DA1D47" w:rsidP="00797497">
            <w:pPr>
              <w:autoSpaceDE w:val="0"/>
              <w:autoSpaceDN w:val="0"/>
              <w:adjustRightInd w:val="0"/>
              <w:rPr>
                <w:rFonts w:ascii="Book Antiqua" w:hAnsi="Book Antiqua" w:cs="Calibri-Bold"/>
                <w:b/>
                <w:bCs/>
                <w:sz w:val="24"/>
                <w:szCs w:val="24"/>
              </w:rPr>
            </w:pPr>
            <w:r w:rsidRPr="00797497">
              <w:rPr>
                <w:rFonts w:ascii="Book Antiqua" w:hAnsi="Book Antiqua" w:cs="Calibri-Bold"/>
                <w:b/>
                <w:bCs/>
                <w:sz w:val="24"/>
                <w:szCs w:val="24"/>
              </w:rPr>
              <w:t>Angaben zum Fahrzeug</w:t>
            </w:r>
          </w:p>
        </w:tc>
      </w:tr>
      <w:tr w:rsidR="00686BCF" w:rsidRPr="00797497" w14:paraId="2C0E1429" w14:textId="77777777" w:rsidTr="00686BCF">
        <w:tc>
          <w:tcPr>
            <w:tcW w:w="4077" w:type="dxa"/>
          </w:tcPr>
          <w:p w14:paraId="280B0E0D" w14:textId="77777777" w:rsidR="00DA1D47" w:rsidRPr="00797497" w:rsidRDefault="00DA1D47" w:rsidP="00797497">
            <w:pPr>
              <w:autoSpaceDE w:val="0"/>
              <w:autoSpaceDN w:val="0"/>
              <w:adjustRightInd w:val="0"/>
              <w:rPr>
                <w:rFonts w:ascii="Book Antiqua" w:hAnsi="Book Antiqua" w:cs="Calibri-Bold"/>
                <w:b/>
                <w:bCs/>
                <w:sz w:val="24"/>
                <w:szCs w:val="24"/>
              </w:rPr>
            </w:pPr>
            <w:r w:rsidRPr="00797497">
              <w:rPr>
                <w:rFonts w:ascii="Book Antiqua" w:hAnsi="Book Antiqua" w:cs="Calibri-Bold"/>
                <w:b/>
                <w:bCs/>
                <w:sz w:val="24"/>
                <w:szCs w:val="24"/>
              </w:rPr>
              <w:t>Art des (Zug-)Fahrzeugs (z.B. Traktor, PKW,…)</w:t>
            </w:r>
          </w:p>
        </w:tc>
        <w:tc>
          <w:tcPr>
            <w:tcW w:w="5387" w:type="dxa"/>
          </w:tcPr>
          <w:p w14:paraId="4B26D6DF" w14:textId="77777777" w:rsidR="00DA1D47" w:rsidRPr="00797497" w:rsidRDefault="00DA1D47" w:rsidP="00797497">
            <w:pPr>
              <w:autoSpaceDE w:val="0"/>
              <w:autoSpaceDN w:val="0"/>
              <w:adjustRightInd w:val="0"/>
              <w:rPr>
                <w:rFonts w:ascii="Book Antiqua" w:hAnsi="Book Antiqua" w:cs="Calibri-Bold"/>
                <w:b/>
                <w:bCs/>
                <w:sz w:val="24"/>
                <w:szCs w:val="24"/>
              </w:rPr>
            </w:pPr>
          </w:p>
        </w:tc>
      </w:tr>
      <w:tr w:rsidR="00686BCF" w:rsidRPr="00797497" w14:paraId="3037F8B3" w14:textId="77777777" w:rsidTr="00686BCF">
        <w:tc>
          <w:tcPr>
            <w:tcW w:w="4077" w:type="dxa"/>
          </w:tcPr>
          <w:p w14:paraId="332838FE" w14:textId="77777777" w:rsidR="00DA1D47" w:rsidRPr="00797497" w:rsidRDefault="00DA1D47" w:rsidP="00797497">
            <w:pPr>
              <w:autoSpaceDE w:val="0"/>
              <w:autoSpaceDN w:val="0"/>
              <w:adjustRightInd w:val="0"/>
              <w:rPr>
                <w:rFonts w:ascii="Book Antiqua" w:hAnsi="Book Antiqua" w:cs="Calibri-Bold"/>
                <w:sz w:val="24"/>
                <w:szCs w:val="24"/>
              </w:rPr>
            </w:pPr>
            <w:r w:rsidRPr="00797497">
              <w:rPr>
                <w:rFonts w:ascii="Book Antiqua" w:hAnsi="Book Antiqua" w:cs="Calibri-Bold"/>
                <w:sz w:val="24"/>
                <w:szCs w:val="24"/>
              </w:rPr>
              <w:t>Kennzeichen</w:t>
            </w:r>
          </w:p>
        </w:tc>
        <w:tc>
          <w:tcPr>
            <w:tcW w:w="5387" w:type="dxa"/>
          </w:tcPr>
          <w:p w14:paraId="291F48C8" w14:textId="77777777" w:rsidR="00DA1D47" w:rsidRPr="00797497" w:rsidRDefault="00DA1D47" w:rsidP="00797497">
            <w:pPr>
              <w:autoSpaceDE w:val="0"/>
              <w:autoSpaceDN w:val="0"/>
              <w:adjustRightInd w:val="0"/>
              <w:rPr>
                <w:rFonts w:ascii="Book Antiqua" w:hAnsi="Book Antiqua" w:cs="Calibri-Bold"/>
                <w:b/>
                <w:bCs/>
                <w:sz w:val="24"/>
                <w:szCs w:val="24"/>
              </w:rPr>
            </w:pPr>
          </w:p>
        </w:tc>
      </w:tr>
      <w:tr w:rsidR="00686BCF" w:rsidRPr="00797497" w14:paraId="1E7DD34B" w14:textId="77777777" w:rsidTr="00686BCF">
        <w:tc>
          <w:tcPr>
            <w:tcW w:w="4077" w:type="dxa"/>
          </w:tcPr>
          <w:p w14:paraId="6E4CAEE9" w14:textId="77777777" w:rsidR="00DA1D47" w:rsidRPr="00797497" w:rsidRDefault="00DA1D47" w:rsidP="00797497">
            <w:pPr>
              <w:autoSpaceDE w:val="0"/>
              <w:autoSpaceDN w:val="0"/>
              <w:adjustRightInd w:val="0"/>
              <w:rPr>
                <w:rFonts w:ascii="Book Antiqua" w:hAnsi="Book Antiqua" w:cs="Calibri-Bold"/>
                <w:b/>
                <w:bCs/>
                <w:sz w:val="24"/>
                <w:szCs w:val="24"/>
              </w:rPr>
            </w:pPr>
            <w:r w:rsidRPr="00797497">
              <w:rPr>
                <w:rFonts w:ascii="Book Antiqua" w:hAnsi="Book Antiqua" w:cs="Calibri-Bold"/>
                <w:b/>
                <w:bCs/>
                <w:sz w:val="24"/>
                <w:szCs w:val="24"/>
              </w:rPr>
              <w:t>Anhänger</w:t>
            </w:r>
          </w:p>
        </w:tc>
        <w:tc>
          <w:tcPr>
            <w:tcW w:w="5387" w:type="dxa"/>
          </w:tcPr>
          <w:p w14:paraId="0EDF1037" w14:textId="77777777" w:rsidR="00DA1D47" w:rsidRPr="00797497" w:rsidRDefault="00DA1D47" w:rsidP="00797497">
            <w:pPr>
              <w:autoSpaceDE w:val="0"/>
              <w:autoSpaceDN w:val="0"/>
              <w:adjustRightInd w:val="0"/>
              <w:rPr>
                <w:rFonts w:ascii="Book Antiqua" w:hAnsi="Book Antiqua" w:cs="Calibri-Bold"/>
                <w:b/>
                <w:bCs/>
                <w:sz w:val="24"/>
                <w:szCs w:val="24"/>
              </w:rPr>
            </w:pPr>
          </w:p>
        </w:tc>
      </w:tr>
      <w:tr w:rsidR="00686BCF" w:rsidRPr="00797497" w14:paraId="2E26FB25" w14:textId="77777777" w:rsidTr="00686BCF">
        <w:tc>
          <w:tcPr>
            <w:tcW w:w="4077" w:type="dxa"/>
          </w:tcPr>
          <w:p w14:paraId="5C1F9865" w14:textId="77777777" w:rsidR="00DA1D47" w:rsidRPr="00797497" w:rsidRDefault="00DA1D47" w:rsidP="00797497">
            <w:pPr>
              <w:autoSpaceDE w:val="0"/>
              <w:autoSpaceDN w:val="0"/>
              <w:adjustRightInd w:val="0"/>
              <w:rPr>
                <w:rFonts w:ascii="Book Antiqua" w:hAnsi="Book Antiqua" w:cs="Calibri-Bold"/>
                <w:sz w:val="24"/>
                <w:szCs w:val="24"/>
              </w:rPr>
            </w:pPr>
            <w:r w:rsidRPr="00797497">
              <w:rPr>
                <w:rFonts w:ascii="Book Antiqua" w:hAnsi="Book Antiqua" w:cs="Calibri-Bold"/>
                <w:sz w:val="24"/>
                <w:szCs w:val="24"/>
              </w:rPr>
              <w:t>Kennzeichen/Wiederholungskennzeichen</w:t>
            </w:r>
          </w:p>
        </w:tc>
        <w:tc>
          <w:tcPr>
            <w:tcW w:w="5387" w:type="dxa"/>
          </w:tcPr>
          <w:p w14:paraId="432644B7" w14:textId="77777777" w:rsidR="00DA1D47" w:rsidRPr="00797497" w:rsidRDefault="00DA1D47" w:rsidP="00797497">
            <w:pPr>
              <w:autoSpaceDE w:val="0"/>
              <w:autoSpaceDN w:val="0"/>
              <w:adjustRightInd w:val="0"/>
              <w:rPr>
                <w:rFonts w:ascii="Book Antiqua" w:hAnsi="Book Antiqua" w:cs="Calibri-Bold"/>
                <w:b/>
                <w:bCs/>
                <w:sz w:val="24"/>
                <w:szCs w:val="24"/>
              </w:rPr>
            </w:pPr>
          </w:p>
        </w:tc>
      </w:tr>
    </w:tbl>
    <w:p w14:paraId="287D8C0A" w14:textId="77777777" w:rsidR="0068204F" w:rsidRDefault="0068204F" w:rsidP="008809D0">
      <w:pPr>
        <w:autoSpaceDE w:val="0"/>
        <w:autoSpaceDN w:val="0"/>
        <w:adjustRightInd w:val="0"/>
        <w:rPr>
          <w:rFonts w:ascii="Book Antiqua" w:hAnsi="Book Antiqua" w:cs="Calibri-Bold"/>
          <w:b/>
          <w:bCs/>
          <w:sz w:val="24"/>
          <w:szCs w:val="24"/>
        </w:rPr>
      </w:pPr>
    </w:p>
    <w:p w14:paraId="73722E0D" w14:textId="77777777" w:rsidR="006B4280" w:rsidRDefault="003E0BC1" w:rsidP="008809D0">
      <w:pPr>
        <w:autoSpaceDE w:val="0"/>
        <w:autoSpaceDN w:val="0"/>
        <w:adjustRightInd w:val="0"/>
        <w:rPr>
          <w:rFonts w:ascii="Book Antiqua" w:hAnsi="Book Antiqua" w:cs="Calibri-Bold"/>
          <w:b/>
          <w:bCs/>
          <w:sz w:val="24"/>
          <w:szCs w:val="24"/>
        </w:rPr>
      </w:pPr>
      <w:r>
        <w:rPr>
          <w:rFonts w:ascii="Book Antiqua" w:hAnsi="Book Antiqua" w:cs="Calibri-Bold"/>
          <w:b/>
          <w:bCs/>
          <w:sz w:val="24"/>
          <w:szCs w:val="24"/>
        </w:rPr>
        <w:t>Folgende Vorschriften des Landratsamt Karlsruhe sind zu beachten: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072"/>
      </w:tblGrid>
      <w:tr w:rsidR="00B71668" w:rsidRPr="00DD403C" w14:paraId="6906EAC6" w14:textId="77777777" w:rsidTr="00686BCF">
        <w:trPr>
          <w:trHeight w:val="285"/>
        </w:trPr>
        <w:tc>
          <w:tcPr>
            <w:tcW w:w="9464" w:type="dxa"/>
            <w:gridSpan w:val="2"/>
            <w:shd w:val="clear" w:color="auto" w:fill="D9D9D9"/>
            <w:noWrap/>
            <w:hideMark/>
          </w:tcPr>
          <w:p w14:paraId="7E5DA16E" w14:textId="77777777" w:rsidR="00B71668" w:rsidRPr="00DD403C" w:rsidRDefault="00B71668" w:rsidP="00797497">
            <w:pPr>
              <w:autoSpaceDE w:val="0"/>
              <w:autoSpaceDN w:val="0"/>
              <w:adjustRightInd w:val="0"/>
              <w:rPr>
                <w:rFonts w:ascii="Book Antiqua" w:hAnsi="Book Antiqua" w:cs="Calibri-Bold"/>
                <w:b/>
                <w:bCs/>
                <w:sz w:val="22"/>
                <w:szCs w:val="22"/>
              </w:rPr>
            </w:pPr>
            <w:r w:rsidRPr="00DD403C">
              <w:rPr>
                <w:rFonts w:ascii="Book Antiqua" w:hAnsi="Book Antiqua" w:cs="Calibri-Bold"/>
                <w:b/>
                <w:bCs/>
                <w:sz w:val="22"/>
                <w:szCs w:val="22"/>
              </w:rPr>
              <w:t>1. Fahrzeuge bzw. Faschingswägen:</w:t>
            </w:r>
          </w:p>
        </w:tc>
      </w:tr>
      <w:tr w:rsidR="0068204F" w:rsidRPr="00DD403C" w14:paraId="20A12C62" w14:textId="77777777" w:rsidTr="00686BCF">
        <w:trPr>
          <w:trHeight w:val="285"/>
        </w:trPr>
        <w:tc>
          <w:tcPr>
            <w:tcW w:w="392" w:type="dxa"/>
            <w:noWrap/>
            <w:hideMark/>
          </w:tcPr>
          <w:p w14:paraId="4969AAD6"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75CBA5B6"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Alle eingesetzte Fahrzeuge müssen verkehrs- und betriebssicher sein.</w:t>
            </w:r>
          </w:p>
        </w:tc>
      </w:tr>
      <w:tr w:rsidR="0068204F" w:rsidRPr="00DD403C" w14:paraId="69E20C7C" w14:textId="77777777" w:rsidTr="00686BCF">
        <w:trPr>
          <w:trHeight w:val="285"/>
        </w:trPr>
        <w:tc>
          <w:tcPr>
            <w:tcW w:w="392" w:type="dxa"/>
            <w:noWrap/>
            <w:hideMark/>
          </w:tcPr>
          <w:p w14:paraId="6230696A"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76490216"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Fahrzeuge mit roten Kennzeichen und Kurzkennzeichen dürfen nicht am Umzug teilnehmen.</w:t>
            </w:r>
          </w:p>
        </w:tc>
      </w:tr>
      <w:tr w:rsidR="0068204F" w:rsidRPr="00DD403C" w14:paraId="72F5257F" w14:textId="77777777" w:rsidTr="00686BCF">
        <w:trPr>
          <w:trHeight w:val="285"/>
        </w:trPr>
        <w:tc>
          <w:tcPr>
            <w:tcW w:w="392" w:type="dxa"/>
            <w:noWrap/>
            <w:hideMark/>
          </w:tcPr>
          <w:p w14:paraId="2005F30D"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1F49F2D2"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An den Faschingsumzügen dürfen nur Faschingswägen teilnehmen, die amtlich zugelassen sind oder über eine gültige Betriebserlaubnis verfügen</w:t>
            </w:r>
          </w:p>
        </w:tc>
      </w:tr>
      <w:tr w:rsidR="0068204F" w:rsidRPr="00DD403C" w14:paraId="631D9302" w14:textId="77777777" w:rsidTr="00686BCF">
        <w:trPr>
          <w:trHeight w:val="285"/>
        </w:trPr>
        <w:tc>
          <w:tcPr>
            <w:tcW w:w="392" w:type="dxa"/>
            <w:noWrap/>
            <w:hideMark/>
          </w:tcPr>
          <w:p w14:paraId="41AC76B7"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105334CF"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Zusätzlich dürfen die Faschingswagen mit Aufbauten nicht breiter als 2,55 Meter (3,00 Meter bei Landu.</w:t>
            </w:r>
          </w:p>
        </w:tc>
      </w:tr>
      <w:tr w:rsidR="0068204F" w:rsidRPr="00DD403C" w14:paraId="7D4B08D2" w14:textId="77777777" w:rsidTr="00686BCF">
        <w:trPr>
          <w:trHeight w:val="285"/>
        </w:trPr>
        <w:tc>
          <w:tcPr>
            <w:tcW w:w="392" w:type="dxa"/>
            <w:noWrap/>
            <w:hideMark/>
          </w:tcPr>
          <w:p w14:paraId="009D9B35"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3957EDD0"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Forstwirtschaftlichen Fahrzeugen), nicht höher als 4,00 Meter und nicht länger als 12,00</w:t>
            </w:r>
            <w:r w:rsidR="004378E3" w:rsidRPr="00DD403C">
              <w:rPr>
                <w:rFonts w:ascii="Book Antiqua" w:hAnsi="Book Antiqua" w:cs="Calibri-Bold"/>
                <w:sz w:val="22"/>
                <w:szCs w:val="22"/>
              </w:rPr>
              <w:t xml:space="preserve"> Meter (Einzelfahrzeug bzw. Anhänger) sein.</w:t>
            </w:r>
          </w:p>
        </w:tc>
      </w:tr>
      <w:tr w:rsidR="0068204F" w:rsidRPr="00DD403C" w14:paraId="5D9E80F6" w14:textId="77777777" w:rsidTr="00686BCF">
        <w:trPr>
          <w:trHeight w:val="285"/>
        </w:trPr>
        <w:tc>
          <w:tcPr>
            <w:tcW w:w="392" w:type="dxa"/>
            <w:noWrap/>
            <w:hideMark/>
          </w:tcPr>
          <w:p w14:paraId="429E57CD"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4F9B2285"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Zu beachten ist auch die Gesamtlänge der Fahrzeugkombination:</w:t>
            </w:r>
          </w:p>
          <w:p w14:paraId="0D883A5C" w14:textId="77777777" w:rsidR="00B71668" w:rsidRPr="00DD403C" w:rsidRDefault="00B71668"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Sattelkraftfahrzeuge: 15,50 m / 16,50 m (Kurvenlaufverhalten eingehalten)</w:t>
            </w:r>
          </w:p>
          <w:p w14:paraId="3E33A06E" w14:textId="77777777" w:rsidR="00B71668" w:rsidRPr="00DD403C" w:rsidRDefault="00B71668"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Züge (LKW mit Anhänger oder Traktoren mit Anhänger): 18,00 m</w:t>
            </w:r>
          </w:p>
        </w:tc>
      </w:tr>
      <w:tr w:rsidR="0068204F" w:rsidRPr="00DD403C" w14:paraId="15AF5ED2" w14:textId="77777777" w:rsidTr="00686BCF">
        <w:trPr>
          <w:trHeight w:val="285"/>
        </w:trPr>
        <w:tc>
          <w:tcPr>
            <w:tcW w:w="392" w:type="dxa"/>
            <w:noWrap/>
            <w:hideMark/>
          </w:tcPr>
          <w:p w14:paraId="24C657E0"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6826058A"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Für jede eingesetzte Zugmaschine muss ein eigenes amtliches Kennzeichen zugeteilt sein.</w:t>
            </w:r>
          </w:p>
        </w:tc>
      </w:tr>
      <w:tr w:rsidR="0068204F" w:rsidRPr="00DD403C" w14:paraId="4297F048" w14:textId="77777777" w:rsidTr="00686BCF">
        <w:trPr>
          <w:trHeight w:val="285"/>
        </w:trPr>
        <w:tc>
          <w:tcPr>
            <w:tcW w:w="392" w:type="dxa"/>
            <w:noWrap/>
            <w:hideMark/>
          </w:tcPr>
          <w:p w14:paraId="03D5500C"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296C80DA" w14:textId="77777777" w:rsidR="006B4280" w:rsidRPr="00DD403C" w:rsidRDefault="006B4280" w:rsidP="00797497">
            <w:pPr>
              <w:autoSpaceDE w:val="0"/>
              <w:autoSpaceDN w:val="0"/>
              <w:adjustRightInd w:val="0"/>
              <w:ind w:right="175"/>
              <w:rPr>
                <w:rFonts w:ascii="Book Antiqua" w:hAnsi="Book Antiqua" w:cs="Calibri-Bold"/>
                <w:sz w:val="22"/>
                <w:szCs w:val="22"/>
              </w:rPr>
            </w:pPr>
            <w:r w:rsidRPr="00DD403C">
              <w:rPr>
                <w:rFonts w:ascii="Book Antiqua" w:hAnsi="Book Antiqua" w:cs="Calibri-Bold"/>
                <w:sz w:val="22"/>
                <w:szCs w:val="22"/>
              </w:rPr>
              <w:t>Bei zulassungsfreien Fahrzeugen (z.B. landwirtschaftliche Anhänger bis 25 km/h, siehe § 3 Abs. 2</w:t>
            </w:r>
            <w:r w:rsidR="00B71668" w:rsidRPr="00DD403C">
              <w:rPr>
                <w:rFonts w:ascii="Book Antiqua" w:hAnsi="Book Antiqua" w:cs="Calibri-Bold"/>
                <w:sz w:val="22"/>
                <w:szCs w:val="22"/>
              </w:rPr>
              <w:t xml:space="preserve"> Fahrzeugzulassungsverordnung-FZV) ist eine Betriebserlaubnis nach § 4 Abs. 1 FZV erforderlich. Fahrzeuge (Faschingswägen), die über keine gültige Betriebserlaubnis verfügen oder die verändert wurden (insbesondere An- oder Aufbauten; Bescheid der Genehmigungsbehörde beachten) oder die oben genannten Maße überschreiten, dürfen an den Faschingsumzügen nur teilnehmen, wenn ihnen durch ein Sachverständigengutachten eines amtlich anerkannten Prüfers für Kraftfahrzeugverkehr </w:t>
            </w:r>
            <w:r w:rsidR="00B71668" w:rsidRPr="00DD403C">
              <w:rPr>
                <w:rFonts w:ascii="Book Antiqua" w:hAnsi="Book Antiqua" w:cs="Calibri-Bold"/>
                <w:sz w:val="22"/>
                <w:szCs w:val="22"/>
              </w:rPr>
              <w:lastRenderedPageBreak/>
              <w:t>die Verkehrssicherheit des Faschingswagens bestätigt wurde. Das Gutachten ist für jedes betreffende Fahrzeug mitzuführen und zuständigen Personen auf Verlangen vorzuzeigen.</w:t>
            </w:r>
          </w:p>
        </w:tc>
      </w:tr>
      <w:tr w:rsidR="0068204F" w:rsidRPr="00DD403C" w14:paraId="7A0E00E8" w14:textId="77777777" w:rsidTr="00686BCF">
        <w:trPr>
          <w:trHeight w:val="285"/>
        </w:trPr>
        <w:tc>
          <w:tcPr>
            <w:tcW w:w="392" w:type="dxa"/>
            <w:noWrap/>
            <w:hideMark/>
          </w:tcPr>
          <w:p w14:paraId="59E9BFC3"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776E9239" w14:textId="77777777" w:rsidR="00B71668"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Die Fahrzeuge dürfen während der Umzüge nur mit Schrittgeschwindigkeit, bei den An- und Abfahrten</w:t>
            </w:r>
            <w:r w:rsidR="00B71668" w:rsidRPr="00DD403C">
              <w:rPr>
                <w:rFonts w:ascii="Book Antiqua" w:hAnsi="Book Antiqua" w:cs="Calibri-Bold"/>
                <w:sz w:val="22"/>
                <w:szCs w:val="22"/>
              </w:rPr>
              <w:t xml:space="preserve"> mit einer Geschwindigkeit von nicht mehr als 25 km/h fahren.</w:t>
            </w:r>
          </w:p>
          <w:p w14:paraId="67EC949C" w14:textId="77777777" w:rsidR="006B4280" w:rsidRPr="00DD403C" w:rsidRDefault="00B71668"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Fahrzeuge die erst zum Veranstaltungsort fahren müssen, haben bei der An- und Abfahrt die Vorgaben der Straßenverkehrs-Ordnung (StVO), der Straßenverkehrs-Zulassungs-Ordnung (StVZO) und der Fahrerlaubnisverordnung (FeV) zu beachten. Ausnahmegenehmigungen sind rechtzeitig bei der Verkehrsbehörde zu beantragen.</w:t>
            </w:r>
          </w:p>
        </w:tc>
      </w:tr>
      <w:tr w:rsidR="0068204F" w:rsidRPr="00DD403C" w14:paraId="7AD25263" w14:textId="77777777" w:rsidTr="00686BCF">
        <w:trPr>
          <w:trHeight w:val="285"/>
        </w:trPr>
        <w:tc>
          <w:tcPr>
            <w:tcW w:w="392" w:type="dxa"/>
            <w:noWrap/>
            <w:hideMark/>
          </w:tcPr>
          <w:p w14:paraId="0645B521"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3B425562"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Die Fahrzeuge müssen nach § 58 StVZgekennzeichnet sein (Geschwindigkeitsschild 25 km/h).</w:t>
            </w:r>
          </w:p>
        </w:tc>
      </w:tr>
      <w:tr w:rsidR="0068204F" w:rsidRPr="00DD403C" w14:paraId="03E6E6AB" w14:textId="77777777" w:rsidTr="00686BCF">
        <w:trPr>
          <w:trHeight w:val="285"/>
        </w:trPr>
        <w:tc>
          <w:tcPr>
            <w:tcW w:w="392" w:type="dxa"/>
            <w:noWrap/>
            <w:hideMark/>
          </w:tcPr>
          <w:p w14:paraId="71AF8C3C"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76A3C5C4"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Aufbauten, die die Sicht des Fahrers behindern oder die Lenkung beeinträchtigen, sind nicht zulässig.</w:t>
            </w:r>
          </w:p>
        </w:tc>
      </w:tr>
      <w:tr w:rsidR="0068204F" w:rsidRPr="00DD403C" w14:paraId="1CBEDD2A" w14:textId="77777777" w:rsidTr="00686BCF">
        <w:trPr>
          <w:trHeight w:val="285"/>
        </w:trPr>
        <w:tc>
          <w:tcPr>
            <w:tcW w:w="392" w:type="dxa"/>
            <w:noWrap/>
            <w:hideMark/>
          </w:tcPr>
          <w:p w14:paraId="4C2BE857"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4B7D309D"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Für alle an den Umzügen teilnehmenden Fahrzeuge muss ein ausreichender Versicherungsschutz</w:t>
            </w:r>
            <w:r w:rsidR="00B71668" w:rsidRPr="00DD403C">
              <w:rPr>
                <w:rFonts w:ascii="Book Antiqua" w:hAnsi="Book Antiqua" w:cs="Calibri-Bold"/>
                <w:sz w:val="22"/>
                <w:szCs w:val="22"/>
              </w:rPr>
              <w:t xml:space="preserve"> bestehen, der mindestens dem Pflichtversicherungsschutz entspricht und die Haftung des Veranstalters gegenüber den beförderten Personen mit einschließt. Dieser Nachweis des Versicherers muss die Deckungszusage über den vorgesehenen Zweck (Personenbeförderung) enthalten. Die Kraftfahrzeughaftpflicht-Versicherung muss die Haftung für Schäden abdecken, die auf den Einsatz der Fahrzeuge auf An- und Abfahrten sowie während der Veranstaltung zurückzuführen sind. Der Kraftfahrzeug-Haftpflichtversicherer ist wegen der Risikoerhöhung zu verständigen.</w:t>
            </w:r>
          </w:p>
        </w:tc>
      </w:tr>
      <w:tr w:rsidR="0068204F" w:rsidRPr="00DD403C" w14:paraId="3E99B13B" w14:textId="77777777" w:rsidTr="00686BCF">
        <w:trPr>
          <w:trHeight w:val="285"/>
        </w:trPr>
        <w:tc>
          <w:tcPr>
            <w:tcW w:w="392" w:type="dxa"/>
            <w:noWrap/>
            <w:hideMark/>
          </w:tcPr>
          <w:p w14:paraId="61375DD6"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2417C2D2"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Bei Faschingsumzügen, die am Sonntag stattfinden, gilt für LKW-Gespanne das Sonntagsfahrverbot.</w:t>
            </w:r>
          </w:p>
        </w:tc>
      </w:tr>
      <w:tr w:rsidR="0068204F" w:rsidRPr="00DD403C" w14:paraId="61D68773" w14:textId="77777777" w:rsidTr="00686BCF">
        <w:trPr>
          <w:trHeight w:val="285"/>
        </w:trPr>
        <w:tc>
          <w:tcPr>
            <w:tcW w:w="392" w:type="dxa"/>
            <w:noWrap/>
            <w:hideMark/>
          </w:tcPr>
          <w:p w14:paraId="2930EE17"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552AB109"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Ausnahmegenehmigungen für den Faschingsumzug sind rechtzeitig beim Landratsamt zu</w:t>
            </w:r>
            <w:r w:rsidR="00B71668" w:rsidRPr="00DD403C">
              <w:rPr>
                <w:rFonts w:ascii="Book Antiqua" w:hAnsi="Book Antiqua" w:cs="Calibri-Bold"/>
                <w:sz w:val="22"/>
                <w:szCs w:val="22"/>
              </w:rPr>
              <w:t xml:space="preserve"> beantragen.</w:t>
            </w:r>
          </w:p>
        </w:tc>
      </w:tr>
      <w:tr w:rsidR="0068204F" w:rsidRPr="00DD403C" w14:paraId="7DBE5017" w14:textId="77777777" w:rsidTr="00686BCF">
        <w:trPr>
          <w:trHeight w:val="285"/>
        </w:trPr>
        <w:tc>
          <w:tcPr>
            <w:tcW w:w="392" w:type="dxa"/>
            <w:noWrap/>
            <w:hideMark/>
          </w:tcPr>
          <w:p w14:paraId="7E17372B"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5BAC5824"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Der Einsatz von Kraftfahrzeugen ("Funfahrzeuge"), die über keine Betriebserlaubnis verfügen, ist nur</w:t>
            </w:r>
            <w:r w:rsidR="00B71668" w:rsidRPr="00DD403C">
              <w:rPr>
                <w:rFonts w:ascii="Book Antiqua" w:hAnsi="Book Antiqua" w:cs="Calibri-Bold"/>
                <w:sz w:val="22"/>
                <w:szCs w:val="22"/>
              </w:rPr>
              <w:t xml:space="preserve"> zulässig, wenn eine Ausnahmegenehmigung von der Zulassungspflicht nach § 70 Abs. 1 Ziffer 2 StVZ von der zuständigen Bezirksregierung vorliegt.</w:t>
            </w:r>
          </w:p>
        </w:tc>
      </w:tr>
      <w:tr w:rsidR="00B71668" w:rsidRPr="00DD403C" w14:paraId="4B7925CC" w14:textId="77777777" w:rsidTr="00686BCF">
        <w:trPr>
          <w:trHeight w:val="285"/>
        </w:trPr>
        <w:tc>
          <w:tcPr>
            <w:tcW w:w="9464" w:type="dxa"/>
            <w:gridSpan w:val="2"/>
            <w:shd w:val="clear" w:color="auto" w:fill="D9D9D9"/>
            <w:noWrap/>
            <w:hideMark/>
          </w:tcPr>
          <w:p w14:paraId="09137B98" w14:textId="77777777" w:rsidR="00B71668" w:rsidRPr="00DD403C" w:rsidRDefault="00B71668" w:rsidP="00797497">
            <w:pPr>
              <w:autoSpaceDE w:val="0"/>
              <w:autoSpaceDN w:val="0"/>
              <w:adjustRightInd w:val="0"/>
              <w:rPr>
                <w:rFonts w:ascii="Book Antiqua" w:hAnsi="Book Antiqua" w:cs="Calibri-Bold"/>
                <w:b/>
                <w:bCs/>
                <w:sz w:val="22"/>
                <w:szCs w:val="22"/>
              </w:rPr>
            </w:pPr>
            <w:r w:rsidRPr="00DD403C">
              <w:rPr>
                <w:rFonts w:ascii="Book Antiqua" w:hAnsi="Book Antiqua" w:cs="Calibri-Bold"/>
                <w:b/>
                <w:bCs/>
                <w:sz w:val="22"/>
                <w:szCs w:val="22"/>
              </w:rPr>
              <w:t>2. Fahrer, Aufsichts- und Begleitpersonen:</w:t>
            </w:r>
          </w:p>
        </w:tc>
      </w:tr>
      <w:tr w:rsidR="0068204F" w:rsidRPr="00DD403C" w14:paraId="0253D18A" w14:textId="77777777" w:rsidTr="00686BCF">
        <w:trPr>
          <w:trHeight w:val="285"/>
        </w:trPr>
        <w:tc>
          <w:tcPr>
            <w:tcW w:w="392" w:type="dxa"/>
            <w:noWrap/>
            <w:hideMark/>
          </w:tcPr>
          <w:p w14:paraId="01ABEA11"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3B3F3151"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Die Umzugswägen dürfen nur von Personen gefahren werden, die eine gültige, dem jeweiligen</w:t>
            </w:r>
            <w:r w:rsidR="00B71668" w:rsidRPr="00DD403C">
              <w:rPr>
                <w:rFonts w:ascii="Book Antiqua" w:hAnsi="Book Antiqua" w:cs="Calibri-Bold"/>
                <w:sz w:val="22"/>
                <w:szCs w:val="22"/>
              </w:rPr>
              <w:t xml:space="preserve"> Kraftfahrzeug entsprechende Fahrerlaubnis besitzen. Die Fahrer sind zur besonderen Vorsicht und Rücksichtnahme anzuhalten.</w:t>
            </w:r>
          </w:p>
        </w:tc>
      </w:tr>
      <w:tr w:rsidR="0068204F" w:rsidRPr="00DD403C" w14:paraId="3C3CC609" w14:textId="77777777" w:rsidTr="00686BCF">
        <w:trPr>
          <w:trHeight w:val="285"/>
        </w:trPr>
        <w:tc>
          <w:tcPr>
            <w:tcW w:w="392" w:type="dxa"/>
            <w:noWrap/>
            <w:hideMark/>
          </w:tcPr>
          <w:p w14:paraId="649A4ED5"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0ECF27F6"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Für jedes Fahrzeug ist (neben dem Fahrer) eine verantwortliche Aufsichtsperson zu bestimmen, die</w:t>
            </w:r>
            <w:r w:rsidR="00B71668" w:rsidRPr="00DD403C">
              <w:rPr>
                <w:rFonts w:ascii="Book Antiqua" w:hAnsi="Book Antiqua" w:cs="Calibri-Bold"/>
                <w:sz w:val="22"/>
                <w:szCs w:val="22"/>
              </w:rPr>
              <w:t xml:space="preserve"> insbesondere auf die Lastverteilung während der (Kurven)Fahrten zu achten hat.</w:t>
            </w:r>
          </w:p>
        </w:tc>
      </w:tr>
      <w:tr w:rsidR="0068204F" w:rsidRPr="00DD403C" w14:paraId="29B04266" w14:textId="77777777" w:rsidTr="00686BCF">
        <w:trPr>
          <w:trHeight w:val="285"/>
        </w:trPr>
        <w:tc>
          <w:tcPr>
            <w:tcW w:w="392" w:type="dxa"/>
            <w:noWrap/>
            <w:hideMark/>
          </w:tcPr>
          <w:p w14:paraId="02860D8E"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6BC2C298"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Angemessene Zeit vor und während des Umzuges ist es jedem Fahrzeugführer, den Aufsicht und</w:t>
            </w:r>
            <w:r w:rsidR="00B71668" w:rsidRPr="00DD403C">
              <w:rPr>
                <w:rFonts w:ascii="Book Antiqua" w:hAnsi="Book Antiqua" w:cs="Calibri-Bold"/>
                <w:sz w:val="22"/>
                <w:szCs w:val="22"/>
              </w:rPr>
              <w:t xml:space="preserve"> Begleitpersonen untersagt, alkoholische Getränke zu sich zu nehmen.</w:t>
            </w:r>
          </w:p>
        </w:tc>
      </w:tr>
      <w:tr w:rsidR="0068204F" w:rsidRPr="00DD403C" w14:paraId="2D565BAC" w14:textId="77777777" w:rsidTr="00686BCF">
        <w:trPr>
          <w:trHeight w:val="285"/>
        </w:trPr>
        <w:tc>
          <w:tcPr>
            <w:tcW w:w="392" w:type="dxa"/>
            <w:noWrap/>
            <w:hideMark/>
          </w:tcPr>
          <w:p w14:paraId="69F0134D"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3A215F6B"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Zur Vermeidung von Unfällen sollen bei einer Fahrzeuglänge von mehr als 4 Metern ggf. vier</w:t>
            </w:r>
            <w:r w:rsidR="005173EC" w:rsidRPr="00DD403C">
              <w:rPr>
                <w:rFonts w:ascii="Book Antiqua" w:hAnsi="Book Antiqua" w:cs="Calibri-Bold"/>
                <w:sz w:val="22"/>
                <w:szCs w:val="22"/>
              </w:rPr>
              <w:t xml:space="preserve"> Begleitpersonen, während des Umzugs neben den Faschingswägen laufen, die nüchtern und eindeutig als Begleitperson erkennbar sein müssen. Die Begleitpersonen sollen die Zuschauer und Teilnehmer auf mögliche Gefahren aufmerksam machen.</w:t>
            </w:r>
          </w:p>
        </w:tc>
      </w:tr>
      <w:tr w:rsidR="005173EC" w:rsidRPr="00DD403C" w14:paraId="6FB0596C" w14:textId="77777777" w:rsidTr="00686BCF">
        <w:trPr>
          <w:trHeight w:val="285"/>
        </w:trPr>
        <w:tc>
          <w:tcPr>
            <w:tcW w:w="9464" w:type="dxa"/>
            <w:gridSpan w:val="2"/>
            <w:shd w:val="clear" w:color="auto" w:fill="D9D9D9"/>
            <w:noWrap/>
            <w:hideMark/>
          </w:tcPr>
          <w:p w14:paraId="65079A1E" w14:textId="77777777" w:rsidR="005173EC" w:rsidRPr="00DD403C" w:rsidRDefault="005173EC" w:rsidP="00797497">
            <w:pPr>
              <w:autoSpaceDE w:val="0"/>
              <w:autoSpaceDN w:val="0"/>
              <w:adjustRightInd w:val="0"/>
              <w:rPr>
                <w:rFonts w:ascii="Book Antiqua" w:hAnsi="Book Antiqua" w:cs="Calibri-Bold"/>
                <w:b/>
                <w:bCs/>
                <w:sz w:val="22"/>
                <w:szCs w:val="22"/>
              </w:rPr>
            </w:pPr>
            <w:r w:rsidRPr="00DD403C">
              <w:rPr>
                <w:rFonts w:ascii="Book Antiqua" w:hAnsi="Book Antiqua" w:cs="Calibri-Bold"/>
                <w:b/>
                <w:bCs/>
                <w:sz w:val="22"/>
                <w:szCs w:val="22"/>
              </w:rPr>
              <w:t>3. Lautsprecher:</w:t>
            </w:r>
          </w:p>
        </w:tc>
      </w:tr>
      <w:tr w:rsidR="0068204F" w:rsidRPr="00DD403C" w14:paraId="3B3C80C7" w14:textId="77777777" w:rsidTr="00686BCF">
        <w:trPr>
          <w:trHeight w:val="285"/>
        </w:trPr>
        <w:tc>
          <w:tcPr>
            <w:tcW w:w="392" w:type="dxa"/>
            <w:noWrap/>
            <w:hideMark/>
          </w:tcPr>
          <w:p w14:paraId="5B636CFC"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1058D6FE"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Lautsprecher und Musikanlagen auf oder an Faschingswägen dürfen nur 1 Stunde vor dem Umzug,</w:t>
            </w:r>
            <w:r w:rsidR="005173EC" w:rsidRPr="00DD403C">
              <w:rPr>
                <w:rFonts w:ascii="Book Antiqua" w:hAnsi="Book Antiqua" w:cs="Calibri-Bold"/>
                <w:sz w:val="22"/>
                <w:szCs w:val="22"/>
              </w:rPr>
              <w:t xml:space="preserve"> während des Umzugs und längstens 1 Stunde nach Umzugsende in Betrieb gesetzt werden (jedoch nicht während der An- bzw. Abfahrten) und dürfen eine Lautstärke von max. 95 dB nicht überschreiten.</w:t>
            </w:r>
          </w:p>
        </w:tc>
      </w:tr>
      <w:tr w:rsidR="0068204F" w:rsidRPr="00DD403C" w14:paraId="0A19B1B8" w14:textId="77777777" w:rsidTr="00686BCF">
        <w:trPr>
          <w:trHeight w:val="285"/>
        </w:trPr>
        <w:tc>
          <w:tcPr>
            <w:tcW w:w="392" w:type="dxa"/>
            <w:noWrap/>
            <w:hideMark/>
          </w:tcPr>
          <w:p w14:paraId="1B25161B"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78CDCC0B"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Vor, während und nach dem Umzug ist die Lautstärke in einem für Anwohner und Zuschauer</w:t>
            </w:r>
            <w:r w:rsidR="005173EC" w:rsidRPr="00DD403C">
              <w:rPr>
                <w:rFonts w:ascii="Book Antiqua" w:hAnsi="Book Antiqua" w:cs="Calibri-Bold"/>
                <w:sz w:val="22"/>
                <w:szCs w:val="22"/>
              </w:rPr>
              <w:t xml:space="preserve"> erträglichen Maß zu halten. Aufforderungen der Umzugsleitung, von Ordnern oder Polizeibeamten, die Lautstärke zu senken, ist Folge zu leisten.</w:t>
            </w:r>
          </w:p>
        </w:tc>
      </w:tr>
      <w:tr w:rsidR="0068204F" w:rsidRPr="00DD403C" w14:paraId="35205BE1" w14:textId="77777777" w:rsidTr="00686BCF">
        <w:trPr>
          <w:trHeight w:val="285"/>
        </w:trPr>
        <w:tc>
          <w:tcPr>
            <w:tcW w:w="392" w:type="dxa"/>
            <w:noWrap/>
            <w:hideMark/>
          </w:tcPr>
          <w:p w14:paraId="16C38CBB"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66FA8DD7" w14:textId="77777777" w:rsidR="006B4280" w:rsidRPr="00DD403C" w:rsidRDefault="005173EC"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Ein Zusammenschließen von Musikanlagen verschiedener Faschingswägen ist nicht zulässig.</w:t>
            </w:r>
          </w:p>
        </w:tc>
      </w:tr>
      <w:tr w:rsidR="005173EC" w:rsidRPr="00DD403C" w14:paraId="623B8A2B" w14:textId="77777777" w:rsidTr="00686BCF">
        <w:trPr>
          <w:trHeight w:val="285"/>
        </w:trPr>
        <w:tc>
          <w:tcPr>
            <w:tcW w:w="9464" w:type="dxa"/>
            <w:gridSpan w:val="2"/>
            <w:shd w:val="clear" w:color="auto" w:fill="D9D9D9"/>
            <w:noWrap/>
            <w:hideMark/>
          </w:tcPr>
          <w:p w14:paraId="35719A5C" w14:textId="77777777" w:rsidR="005173EC" w:rsidRPr="00DD403C" w:rsidRDefault="005173EC" w:rsidP="00797497">
            <w:pPr>
              <w:autoSpaceDE w:val="0"/>
              <w:autoSpaceDN w:val="0"/>
              <w:adjustRightInd w:val="0"/>
              <w:rPr>
                <w:rFonts w:ascii="Book Antiqua" w:hAnsi="Book Antiqua" w:cs="Calibri-Bold"/>
                <w:b/>
                <w:bCs/>
                <w:sz w:val="22"/>
                <w:szCs w:val="22"/>
              </w:rPr>
            </w:pPr>
            <w:r w:rsidRPr="00DD403C">
              <w:rPr>
                <w:rFonts w:ascii="Book Antiqua" w:hAnsi="Book Antiqua" w:cs="Calibri-Bold"/>
                <w:b/>
                <w:bCs/>
                <w:sz w:val="22"/>
                <w:szCs w:val="22"/>
              </w:rPr>
              <w:lastRenderedPageBreak/>
              <w:t>4. Sonstiges:</w:t>
            </w:r>
          </w:p>
        </w:tc>
      </w:tr>
      <w:tr w:rsidR="0068204F" w:rsidRPr="00DD403C" w14:paraId="100E1FE7" w14:textId="77777777" w:rsidTr="00686BCF">
        <w:trPr>
          <w:trHeight w:val="285"/>
        </w:trPr>
        <w:tc>
          <w:tcPr>
            <w:tcW w:w="392" w:type="dxa"/>
            <w:noWrap/>
            <w:hideMark/>
          </w:tcPr>
          <w:p w14:paraId="21309027"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5F16FDA9"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 xml:space="preserve">Aus Sicherheitsgründen </w:t>
            </w:r>
            <w:r w:rsidR="00990DC5">
              <w:rPr>
                <w:rFonts w:ascii="Book Antiqua" w:hAnsi="Book Antiqua" w:cs="Calibri-Bold"/>
                <w:sz w:val="22"/>
                <w:szCs w:val="22"/>
              </w:rPr>
              <w:t>ist</w:t>
            </w:r>
            <w:r w:rsidRPr="00DD403C">
              <w:rPr>
                <w:rFonts w:ascii="Book Antiqua" w:hAnsi="Book Antiqua" w:cs="Calibri-Bold"/>
                <w:sz w:val="22"/>
                <w:szCs w:val="22"/>
              </w:rPr>
              <w:t xml:space="preserve"> das Werfen von festen, flüssigen, Schaum- oder pulverartigen Materialien</w:t>
            </w:r>
            <w:r w:rsidR="005173EC" w:rsidRPr="00DD403C">
              <w:rPr>
                <w:rFonts w:ascii="Book Antiqua" w:hAnsi="Book Antiqua" w:cs="Calibri-Bold"/>
                <w:sz w:val="22"/>
                <w:szCs w:val="22"/>
              </w:rPr>
              <w:t xml:space="preserve"> (z.B. Heu, Konfetti, Holzspäne</w:t>
            </w:r>
            <w:r w:rsidR="00990DC5">
              <w:rPr>
                <w:rFonts w:ascii="Book Antiqua" w:hAnsi="Book Antiqua" w:cs="Calibri-Bold"/>
                <w:sz w:val="22"/>
                <w:szCs w:val="22"/>
              </w:rPr>
              <w:t>, Stroh, etc.</w:t>
            </w:r>
            <w:r w:rsidR="005173EC" w:rsidRPr="00DD403C">
              <w:rPr>
                <w:rFonts w:ascii="Book Antiqua" w:hAnsi="Book Antiqua" w:cs="Calibri-Bold"/>
                <w:sz w:val="22"/>
                <w:szCs w:val="22"/>
              </w:rPr>
              <w:t>) und von verletzenden Gegenständen verboten. Es ist untersagt, von den Fahrzeugen herab Getränke jeglicher Art an Zuschauer und Teilnehmer zu verabreichen.</w:t>
            </w:r>
          </w:p>
        </w:tc>
      </w:tr>
      <w:tr w:rsidR="0068204F" w:rsidRPr="00DD403C" w14:paraId="74BAF4ED" w14:textId="77777777" w:rsidTr="00686BCF">
        <w:trPr>
          <w:trHeight w:val="285"/>
        </w:trPr>
        <w:tc>
          <w:tcPr>
            <w:tcW w:w="392" w:type="dxa"/>
            <w:noWrap/>
            <w:hideMark/>
          </w:tcPr>
          <w:p w14:paraId="08EA9CCA"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2B8DA9E1"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Personen dürfen nur während des Umzuges, jedoch nicht während der An- und Abfahrten, auf den</w:t>
            </w:r>
            <w:r w:rsidR="005173EC" w:rsidRPr="00DD403C">
              <w:rPr>
                <w:rFonts w:ascii="Book Antiqua" w:hAnsi="Book Antiqua" w:cs="Calibri-Bold"/>
                <w:sz w:val="22"/>
                <w:szCs w:val="22"/>
              </w:rPr>
              <w:t xml:space="preserve"> Faschingswägen befördert werden. Beim Mitführen von stehenden Personen ist eine Mindesthöhe der Brüstung von 1000 mm einzuhalten, bei sitzenden Personen oder Kindern von 800 mm.</w:t>
            </w:r>
          </w:p>
        </w:tc>
      </w:tr>
      <w:tr w:rsidR="0068204F" w:rsidRPr="00DD403C" w14:paraId="11E4C808" w14:textId="77777777" w:rsidTr="00686BCF">
        <w:trPr>
          <w:trHeight w:val="285"/>
        </w:trPr>
        <w:tc>
          <w:tcPr>
            <w:tcW w:w="392" w:type="dxa"/>
            <w:noWrap/>
            <w:hideMark/>
          </w:tcPr>
          <w:p w14:paraId="43532048"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670A517B" w14:textId="77777777" w:rsidR="006B4280" w:rsidRPr="00DD403C" w:rsidRDefault="005173EC"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Sitzbänke, Tische u. sonstige Auf- u. Einbauten müssen mit dem Fzg. fest verbunden sein.</w:t>
            </w:r>
          </w:p>
        </w:tc>
      </w:tr>
      <w:tr w:rsidR="0068204F" w:rsidRPr="00DD403C" w14:paraId="7188D94C" w14:textId="77777777" w:rsidTr="00686BCF">
        <w:trPr>
          <w:trHeight w:val="285"/>
        </w:trPr>
        <w:tc>
          <w:tcPr>
            <w:tcW w:w="392" w:type="dxa"/>
            <w:noWrap/>
            <w:hideMark/>
          </w:tcPr>
          <w:p w14:paraId="10DAA769"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2F552C14" w14:textId="77777777" w:rsidR="006B4280" w:rsidRPr="00DD403C" w:rsidRDefault="005173EC"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Für jeden Sitz- und Stehplatz muss eine ausreichende Sicherung gegen Verletzungen und Herunterfallen des Platzinhabers bestehen.</w:t>
            </w:r>
          </w:p>
        </w:tc>
      </w:tr>
      <w:tr w:rsidR="0068204F" w:rsidRPr="00DD403C" w14:paraId="164EC83A" w14:textId="77777777" w:rsidTr="00686BCF">
        <w:trPr>
          <w:trHeight w:val="285"/>
        </w:trPr>
        <w:tc>
          <w:tcPr>
            <w:tcW w:w="392" w:type="dxa"/>
            <w:noWrap/>
            <w:hideMark/>
          </w:tcPr>
          <w:p w14:paraId="2A05373D"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2524F81A" w14:textId="77777777" w:rsidR="006B4280" w:rsidRPr="00DD403C" w:rsidRDefault="005173EC"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Die Ladefläche muss eben, tritt und rutschfest sein.</w:t>
            </w:r>
          </w:p>
        </w:tc>
      </w:tr>
      <w:tr w:rsidR="0068204F" w:rsidRPr="00DD403C" w14:paraId="24287F46" w14:textId="77777777" w:rsidTr="00686BCF">
        <w:trPr>
          <w:trHeight w:val="285"/>
        </w:trPr>
        <w:tc>
          <w:tcPr>
            <w:tcW w:w="392" w:type="dxa"/>
            <w:noWrap/>
            <w:hideMark/>
          </w:tcPr>
          <w:p w14:paraId="6764172F"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05DA562C" w14:textId="77777777" w:rsidR="006B4280" w:rsidRPr="00DD403C" w:rsidRDefault="005173EC"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Der Ein- bzw. Ausstieg, der vorhanden sein muss, darf sich nicht zwischen den Fahrzeugen befinden. Die Aufbauten sind sicher zu gestalten und am Fahrzeug fest anzubringen.</w:t>
            </w:r>
          </w:p>
        </w:tc>
      </w:tr>
      <w:tr w:rsidR="00DD403C" w:rsidRPr="00DD403C" w14:paraId="4A137F54" w14:textId="77777777" w:rsidTr="00686BCF">
        <w:trPr>
          <w:trHeight w:val="285"/>
        </w:trPr>
        <w:tc>
          <w:tcPr>
            <w:tcW w:w="392" w:type="dxa"/>
            <w:noWrap/>
          </w:tcPr>
          <w:p w14:paraId="40A75721" w14:textId="77777777" w:rsidR="00DD403C" w:rsidRPr="00DD403C" w:rsidRDefault="00DD403C" w:rsidP="00797497">
            <w:pPr>
              <w:autoSpaceDE w:val="0"/>
              <w:autoSpaceDN w:val="0"/>
              <w:adjustRightInd w:val="0"/>
              <w:rPr>
                <w:rFonts w:ascii="Book Antiqua" w:hAnsi="Book Antiqua" w:cs="Calibri-Bold"/>
                <w:b/>
                <w:bCs/>
                <w:sz w:val="22"/>
                <w:szCs w:val="22"/>
              </w:rPr>
            </w:pPr>
          </w:p>
        </w:tc>
        <w:tc>
          <w:tcPr>
            <w:tcW w:w="9072" w:type="dxa"/>
            <w:noWrap/>
          </w:tcPr>
          <w:p w14:paraId="6EC65764" w14:textId="77777777" w:rsidR="00DD403C" w:rsidRPr="00DD403C" w:rsidRDefault="00DD403C"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Das Abbrennen und Abfeuern von pyrotechnischen Gegenständen und ähnlichen Erzeugnissen sowie die Verwendung von Schallkanonen, Böllern und ähnlichen Einrichtungen sind verboten.</w:t>
            </w:r>
          </w:p>
        </w:tc>
      </w:tr>
      <w:tr w:rsidR="0068204F" w:rsidRPr="00DD403C" w14:paraId="32C03FC4" w14:textId="77777777" w:rsidTr="00686BCF">
        <w:trPr>
          <w:trHeight w:val="285"/>
        </w:trPr>
        <w:tc>
          <w:tcPr>
            <w:tcW w:w="392" w:type="dxa"/>
            <w:noWrap/>
            <w:hideMark/>
          </w:tcPr>
          <w:p w14:paraId="690897D9"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09B653F9"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Im Zuge der Faschingsumzüge sind die Straßenverkehrs-Ordnung und die Straßenverkehrs-</w:t>
            </w:r>
            <w:r w:rsidR="005173EC" w:rsidRPr="00DD403C">
              <w:rPr>
                <w:rFonts w:ascii="Book Antiqua" w:hAnsi="Book Antiqua" w:cs="Calibri-Bold"/>
                <w:sz w:val="22"/>
                <w:szCs w:val="22"/>
              </w:rPr>
              <w:t xml:space="preserve"> Zulassungs-Ordnung zu beachten und der Jugendschutz ist zu gewährleisten.</w:t>
            </w:r>
          </w:p>
        </w:tc>
      </w:tr>
      <w:tr w:rsidR="0068204F" w:rsidRPr="00DD403C" w14:paraId="2154E2A4" w14:textId="77777777" w:rsidTr="00686BCF">
        <w:trPr>
          <w:trHeight w:val="285"/>
        </w:trPr>
        <w:tc>
          <w:tcPr>
            <w:tcW w:w="392" w:type="dxa"/>
            <w:noWrap/>
            <w:hideMark/>
          </w:tcPr>
          <w:p w14:paraId="145B008C" w14:textId="77777777" w:rsidR="006B4280" w:rsidRPr="00DD403C" w:rsidRDefault="006B4280" w:rsidP="00797497">
            <w:pPr>
              <w:autoSpaceDE w:val="0"/>
              <w:autoSpaceDN w:val="0"/>
              <w:adjustRightInd w:val="0"/>
              <w:rPr>
                <w:rFonts w:ascii="Book Antiqua" w:hAnsi="Book Antiqua" w:cs="Calibri-Bold"/>
                <w:b/>
                <w:bCs/>
                <w:sz w:val="22"/>
                <w:szCs w:val="22"/>
              </w:rPr>
            </w:pPr>
          </w:p>
        </w:tc>
        <w:tc>
          <w:tcPr>
            <w:tcW w:w="9072" w:type="dxa"/>
            <w:noWrap/>
            <w:hideMark/>
          </w:tcPr>
          <w:p w14:paraId="0230B322" w14:textId="77777777" w:rsidR="006B4280" w:rsidRPr="00DD403C" w:rsidRDefault="006B4280" w:rsidP="00797497">
            <w:pPr>
              <w:autoSpaceDE w:val="0"/>
              <w:autoSpaceDN w:val="0"/>
              <w:adjustRightInd w:val="0"/>
              <w:rPr>
                <w:rFonts w:ascii="Book Antiqua" w:hAnsi="Book Antiqua" w:cs="Calibri-Bold"/>
                <w:sz w:val="22"/>
                <w:szCs w:val="22"/>
              </w:rPr>
            </w:pPr>
            <w:r w:rsidRPr="00DD403C">
              <w:rPr>
                <w:rFonts w:ascii="Book Antiqua" w:hAnsi="Book Antiqua" w:cs="Calibri-Bold"/>
                <w:sz w:val="22"/>
                <w:szCs w:val="22"/>
              </w:rPr>
              <w:t>Umzugsteilnehmer, die gegen gesetzliche Vorgaben oder die Vorgaben dieses Merkblatts verstoßen,</w:t>
            </w:r>
            <w:r w:rsidR="005173EC" w:rsidRPr="00DD403C">
              <w:rPr>
                <w:rFonts w:ascii="Book Antiqua" w:hAnsi="Book Antiqua" w:cs="Calibri-Bold"/>
                <w:sz w:val="22"/>
                <w:szCs w:val="22"/>
              </w:rPr>
              <w:t xml:space="preserve"> können sowohl vom Veranstalter, als auch von der Polizei von der Teilnahme an den Umzügen ausgeschlossen werden.</w:t>
            </w:r>
          </w:p>
        </w:tc>
      </w:tr>
      <w:tr w:rsidR="00990DC5" w:rsidRPr="00DD403C" w14:paraId="319F8CD3" w14:textId="77777777" w:rsidTr="00686BCF">
        <w:trPr>
          <w:trHeight w:val="285"/>
        </w:trPr>
        <w:tc>
          <w:tcPr>
            <w:tcW w:w="392" w:type="dxa"/>
            <w:noWrap/>
          </w:tcPr>
          <w:p w14:paraId="50876567" w14:textId="77777777" w:rsidR="00990DC5" w:rsidRPr="00DD403C" w:rsidRDefault="00990DC5" w:rsidP="00797497">
            <w:pPr>
              <w:autoSpaceDE w:val="0"/>
              <w:autoSpaceDN w:val="0"/>
              <w:adjustRightInd w:val="0"/>
              <w:rPr>
                <w:rFonts w:ascii="Book Antiqua" w:hAnsi="Book Antiqua" w:cs="Calibri-Bold"/>
                <w:b/>
                <w:bCs/>
                <w:sz w:val="22"/>
                <w:szCs w:val="22"/>
              </w:rPr>
            </w:pPr>
          </w:p>
        </w:tc>
        <w:tc>
          <w:tcPr>
            <w:tcW w:w="9072" w:type="dxa"/>
            <w:noWrap/>
          </w:tcPr>
          <w:p w14:paraId="7549F742" w14:textId="77777777" w:rsidR="00990DC5" w:rsidRPr="00990DC5" w:rsidRDefault="00990DC5" w:rsidP="00990DC5">
            <w:pPr>
              <w:rPr>
                <w:rFonts w:ascii="Book Antiqua" w:hAnsi="Book Antiqua"/>
                <w:color w:val="FF0000"/>
                <w:sz w:val="22"/>
                <w:szCs w:val="22"/>
              </w:rPr>
            </w:pPr>
            <w:r w:rsidRPr="005F2436">
              <w:rPr>
                <w:rFonts w:ascii="Book Antiqua" w:hAnsi="Book Antiqua"/>
                <w:color w:val="FF0000"/>
                <w:sz w:val="22"/>
                <w:szCs w:val="22"/>
              </w:rPr>
              <w:t>Wir bitten euch bei der Umzugsauflösung nicht stehen zu bleiben oder gar dem Zug entgegenlaufen, sondern den ausgewiesenen Weg bis zur Dreschhalle fertig zu laufen. Unseren Ordnern ist hier unbedingt Folge zu leisten.</w:t>
            </w:r>
          </w:p>
        </w:tc>
      </w:tr>
    </w:tbl>
    <w:p w14:paraId="50EA3937" w14:textId="77777777" w:rsidR="006B4280" w:rsidRPr="00DD403C" w:rsidRDefault="006B4280" w:rsidP="008809D0">
      <w:pPr>
        <w:autoSpaceDE w:val="0"/>
        <w:autoSpaceDN w:val="0"/>
        <w:adjustRightInd w:val="0"/>
        <w:rPr>
          <w:rFonts w:ascii="Book Antiqua" w:hAnsi="Book Antiqua" w:cs="Calibri-Bold"/>
          <w:b/>
          <w:bCs/>
          <w:sz w:val="22"/>
          <w:szCs w:val="22"/>
        </w:rPr>
      </w:pPr>
    </w:p>
    <w:p w14:paraId="44A1E685" w14:textId="77777777" w:rsidR="003E0BC1" w:rsidRPr="00DD403C" w:rsidRDefault="003E0BC1" w:rsidP="003E0BC1">
      <w:pPr>
        <w:autoSpaceDE w:val="0"/>
        <w:autoSpaceDN w:val="0"/>
        <w:adjustRightInd w:val="0"/>
        <w:rPr>
          <w:rFonts w:ascii="Book Antiqua" w:hAnsi="Book Antiqua" w:cs="Calibri-Bold"/>
          <w:b/>
          <w:bCs/>
          <w:sz w:val="22"/>
          <w:szCs w:val="22"/>
        </w:rPr>
      </w:pPr>
      <w:r w:rsidRPr="00DD403C">
        <w:rPr>
          <w:rFonts w:ascii="Book Antiqua" w:hAnsi="Book Antiqua" w:cs="Calibri-Bold"/>
          <w:b/>
          <w:bCs/>
          <w:sz w:val="22"/>
          <w:szCs w:val="22"/>
        </w:rPr>
        <w:t>Die Einhaltung der Vorschriften über die Teilnahme von Fahrzeugen an Brauchtumsveranstaltungen wird bestätigt.</w:t>
      </w:r>
    </w:p>
    <w:p w14:paraId="1215599B" w14:textId="77777777" w:rsidR="003E0BC1" w:rsidRPr="00DD403C" w:rsidRDefault="003E0BC1" w:rsidP="008809D0">
      <w:pPr>
        <w:autoSpaceDE w:val="0"/>
        <w:autoSpaceDN w:val="0"/>
        <w:adjustRightInd w:val="0"/>
        <w:rPr>
          <w:rFonts w:ascii="Book Antiqua" w:hAnsi="Book Antiqua" w:cs="Calibri-Bold"/>
          <w:b/>
          <w:bCs/>
          <w:sz w:val="22"/>
          <w:szCs w:val="22"/>
        </w:rPr>
      </w:pPr>
    </w:p>
    <w:p w14:paraId="581B4841" w14:textId="77777777" w:rsidR="003E0BC1" w:rsidRPr="00DD403C" w:rsidRDefault="003E0BC1" w:rsidP="008809D0">
      <w:pPr>
        <w:autoSpaceDE w:val="0"/>
        <w:autoSpaceDN w:val="0"/>
        <w:adjustRightInd w:val="0"/>
        <w:rPr>
          <w:rFonts w:ascii="Book Antiqua" w:hAnsi="Book Antiqua" w:cs="Calibri-Bold"/>
          <w:b/>
          <w:bCs/>
          <w:sz w:val="22"/>
          <w:szCs w:val="22"/>
        </w:rPr>
      </w:pPr>
    </w:p>
    <w:p w14:paraId="29AFC141" w14:textId="77777777" w:rsidR="003E0BC1" w:rsidRPr="00DD403C" w:rsidRDefault="003E0BC1" w:rsidP="008809D0">
      <w:pPr>
        <w:autoSpaceDE w:val="0"/>
        <w:autoSpaceDN w:val="0"/>
        <w:adjustRightInd w:val="0"/>
        <w:rPr>
          <w:rFonts w:ascii="Book Antiqua" w:hAnsi="Book Antiqua" w:cs="Calibri-Bold"/>
          <w:b/>
          <w:bCs/>
          <w:sz w:val="22"/>
          <w:szCs w:val="22"/>
        </w:rPr>
      </w:pPr>
      <w:r w:rsidRPr="00DD403C">
        <w:rPr>
          <w:rFonts w:ascii="Book Antiqua" w:hAnsi="Book Antiqua" w:cs="Calibri-Bold"/>
          <w:b/>
          <w:bCs/>
          <w:sz w:val="22"/>
          <w:szCs w:val="22"/>
        </w:rPr>
        <w:t>____________________</w:t>
      </w:r>
    </w:p>
    <w:p w14:paraId="569593B5" w14:textId="77777777" w:rsidR="003E0BC1" w:rsidRPr="00DD403C" w:rsidRDefault="003E0BC1" w:rsidP="008809D0">
      <w:pPr>
        <w:autoSpaceDE w:val="0"/>
        <w:autoSpaceDN w:val="0"/>
        <w:adjustRightInd w:val="0"/>
        <w:rPr>
          <w:rFonts w:ascii="Book Antiqua" w:hAnsi="Book Antiqua" w:cs="Calibri-Bold"/>
          <w:b/>
          <w:bCs/>
          <w:sz w:val="22"/>
          <w:szCs w:val="22"/>
        </w:rPr>
      </w:pPr>
      <w:r w:rsidRPr="00DD403C">
        <w:rPr>
          <w:rFonts w:ascii="Book Antiqua" w:hAnsi="Book Antiqua" w:cs="Calibri-Bold"/>
          <w:b/>
          <w:bCs/>
          <w:sz w:val="22"/>
          <w:szCs w:val="22"/>
        </w:rPr>
        <w:t>Unterschrift Fahrer</w:t>
      </w:r>
    </w:p>
    <w:p w14:paraId="43507054" w14:textId="77777777" w:rsidR="003E0BC1" w:rsidRPr="00DD403C" w:rsidRDefault="003E0BC1" w:rsidP="008809D0">
      <w:pPr>
        <w:autoSpaceDE w:val="0"/>
        <w:autoSpaceDN w:val="0"/>
        <w:adjustRightInd w:val="0"/>
        <w:rPr>
          <w:rFonts w:ascii="Book Antiqua" w:hAnsi="Book Antiqua" w:cs="Calibri-Bold"/>
          <w:b/>
          <w:bCs/>
          <w:sz w:val="22"/>
          <w:szCs w:val="22"/>
        </w:rPr>
      </w:pPr>
    </w:p>
    <w:p w14:paraId="7FF21DBB" w14:textId="77777777" w:rsidR="003E0BC1" w:rsidRPr="00DD403C" w:rsidRDefault="003E0BC1" w:rsidP="008809D0">
      <w:pPr>
        <w:autoSpaceDE w:val="0"/>
        <w:autoSpaceDN w:val="0"/>
        <w:adjustRightInd w:val="0"/>
        <w:rPr>
          <w:rFonts w:ascii="Book Antiqua" w:hAnsi="Book Antiqua" w:cs="Calibri-Bold"/>
          <w:b/>
          <w:bCs/>
          <w:sz w:val="22"/>
          <w:szCs w:val="22"/>
        </w:rPr>
      </w:pPr>
    </w:p>
    <w:p w14:paraId="066B7943" w14:textId="77777777" w:rsidR="003E0BC1" w:rsidRPr="00DD403C" w:rsidRDefault="003E0BC1" w:rsidP="008809D0">
      <w:pPr>
        <w:autoSpaceDE w:val="0"/>
        <w:autoSpaceDN w:val="0"/>
        <w:adjustRightInd w:val="0"/>
        <w:rPr>
          <w:rFonts w:ascii="Book Antiqua" w:hAnsi="Book Antiqua" w:cs="Calibri-Bold"/>
          <w:b/>
          <w:bCs/>
          <w:sz w:val="22"/>
          <w:szCs w:val="22"/>
        </w:rPr>
      </w:pPr>
      <w:r w:rsidRPr="00DD403C">
        <w:rPr>
          <w:rFonts w:ascii="Book Antiqua" w:hAnsi="Book Antiqua" w:cs="Calibri-Bold"/>
          <w:b/>
          <w:bCs/>
          <w:sz w:val="22"/>
          <w:szCs w:val="22"/>
        </w:rPr>
        <w:t>____________________</w:t>
      </w:r>
    </w:p>
    <w:p w14:paraId="6417A939" w14:textId="77777777" w:rsidR="003E0BC1" w:rsidRPr="00DD403C" w:rsidRDefault="003E0BC1" w:rsidP="008809D0">
      <w:pPr>
        <w:autoSpaceDE w:val="0"/>
        <w:autoSpaceDN w:val="0"/>
        <w:adjustRightInd w:val="0"/>
        <w:rPr>
          <w:rFonts w:ascii="Book Antiqua" w:hAnsi="Book Antiqua" w:cs="Calibri-Bold"/>
          <w:b/>
          <w:bCs/>
          <w:sz w:val="22"/>
          <w:szCs w:val="22"/>
        </w:rPr>
      </w:pPr>
      <w:r w:rsidRPr="00DD403C">
        <w:rPr>
          <w:rFonts w:ascii="Book Antiqua" w:hAnsi="Book Antiqua" w:cs="Calibri-Bold"/>
          <w:b/>
          <w:bCs/>
          <w:sz w:val="22"/>
          <w:szCs w:val="22"/>
        </w:rPr>
        <w:t>Unterschrift Verantwortlicher Zunft / Gruppe</w:t>
      </w:r>
    </w:p>
    <w:sectPr w:rsidR="003E0BC1" w:rsidRPr="00DD403C" w:rsidSect="00384845">
      <w:footerReference w:type="default" r:id="rId8"/>
      <w:pgSz w:w="11907" w:h="16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588A" w14:textId="77777777" w:rsidR="0088125C" w:rsidRDefault="0088125C">
      <w:r>
        <w:separator/>
      </w:r>
    </w:p>
  </w:endnote>
  <w:endnote w:type="continuationSeparator" w:id="0">
    <w:p w14:paraId="34340911" w14:textId="77777777" w:rsidR="0088125C" w:rsidRDefault="0088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3F76" w14:textId="77777777" w:rsidR="00797497" w:rsidRDefault="00797497">
    <w:pPr>
      <w:pStyle w:val="Fuzeile"/>
      <w:jc w:val="right"/>
    </w:pPr>
    <w:r>
      <w:fldChar w:fldCharType="begin"/>
    </w:r>
    <w:r>
      <w:instrText>PAGE   \* MERGEFORMAT</w:instrText>
    </w:r>
    <w:r>
      <w:fldChar w:fldCharType="separate"/>
    </w:r>
    <w:r>
      <w:t>2</w:t>
    </w:r>
    <w:r>
      <w:fldChar w:fldCharType="end"/>
    </w:r>
  </w:p>
  <w:p w14:paraId="27E2870F" w14:textId="77777777" w:rsidR="00797497" w:rsidRDefault="007974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92F7" w14:textId="77777777" w:rsidR="0088125C" w:rsidRDefault="0088125C">
      <w:r>
        <w:separator/>
      </w:r>
    </w:p>
  </w:footnote>
  <w:footnote w:type="continuationSeparator" w:id="0">
    <w:p w14:paraId="1EEE8B2A" w14:textId="77777777" w:rsidR="0088125C" w:rsidRDefault="00881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4539C"/>
    <w:multiLevelType w:val="hybridMultilevel"/>
    <w:tmpl w:val="B632166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190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1B"/>
    <w:rsid w:val="00001369"/>
    <w:rsid w:val="00004D09"/>
    <w:rsid w:val="0002037C"/>
    <w:rsid w:val="00022F65"/>
    <w:rsid w:val="00024377"/>
    <w:rsid w:val="00030D17"/>
    <w:rsid w:val="000363CF"/>
    <w:rsid w:val="00036C56"/>
    <w:rsid w:val="00045BC3"/>
    <w:rsid w:val="00051CA8"/>
    <w:rsid w:val="00060220"/>
    <w:rsid w:val="000609C5"/>
    <w:rsid w:val="0006388D"/>
    <w:rsid w:val="00071FE3"/>
    <w:rsid w:val="00073CBC"/>
    <w:rsid w:val="000844C0"/>
    <w:rsid w:val="000A6E18"/>
    <w:rsid w:val="000B1BF7"/>
    <w:rsid w:val="000D7FA6"/>
    <w:rsid w:val="000E7796"/>
    <w:rsid w:val="000F54A3"/>
    <w:rsid w:val="001006D1"/>
    <w:rsid w:val="00111435"/>
    <w:rsid w:val="00112B3C"/>
    <w:rsid w:val="00124961"/>
    <w:rsid w:val="00135604"/>
    <w:rsid w:val="00153BF1"/>
    <w:rsid w:val="00170E12"/>
    <w:rsid w:val="00185FCD"/>
    <w:rsid w:val="001A4B9B"/>
    <w:rsid w:val="001B1F8A"/>
    <w:rsid w:val="001C0C3C"/>
    <w:rsid w:val="001D2C5B"/>
    <w:rsid w:val="001D6F17"/>
    <w:rsid w:val="001E09D2"/>
    <w:rsid w:val="001E7809"/>
    <w:rsid w:val="002011AD"/>
    <w:rsid w:val="00221CBB"/>
    <w:rsid w:val="00240E07"/>
    <w:rsid w:val="00244CCF"/>
    <w:rsid w:val="00277D02"/>
    <w:rsid w:val="002836F2"/>
    <w:rsid w:val="00295F66"/>
    <w:rsid w:val="002A0785"/>
    <w:rsid w:val="002A3D09"/>
    <w:rsid w:val="002B6B7D"/>
    <w:rsid w:val="002C3261"/>
    <w:rsid w:val="002C5427"/>
    <w:rsid w:val="002F2AF1"/>
    <w:rsid w:val="002F7295"/>
    <w:rsid w:val="00303B9A"/>
    <w:rsid w:val="00304A00"/>
    <w:rsid w:val="00310497"/>
    <w:rsid w:val="0031520C"/>
    <w:rsid w:val="00323742"/>
    <w:rsid w:val="00327AFB"/>
    <w:rsid w:val="0033192A"/>
    <w:rsid w:val="00333D00"/>
    <w:rsid w:val="00341A66"/>
    <w:rsid w:val="00347054"/>
    <w:rsid w:val="00350784"/>
    <w:rsid w:val="003666B4"/>
    <w:rsid w:val="00375DA9"/>
    <w:rsid w:val="003802E1"/>
    <w:rsid w:val="003843E1"/>
    <w:rsid w:val="00384845"/>
    <w:rsid w:val="003A22CD"/>
    <w:rsid w:val="003A2B75"/>
    <w:rsid w:val="003C5528"/>
    <w:rsid w:val="003C556E"/>
    <w:rsid w:val="003E0BC1"/>
    <w:rsid w:val="003F01D4"/>
    <w:rsid w:val="00413371"/>
    <w:rsid w:val="00420429"/>
    <w:rsid w:val="0042313B"/>
    <w:rsid w:val="0043016B"/>
    <w:rsid w:val="004378E3"/>
    <w:rsid w:val="004451AA"/>
    <w:rsid w:val="00463D19"/>
    <w:rsid w:val="00486DB8"/>
    <w:rsid w:val="00492AEC"/>
    <w:rsid w:val="00492B5B"/>
    <w:rsid w:val="00493DB5"/>
    <w:rsid w:val="004A1282"/>
    <w:rsid w:val="004A3BB2"/>
    <w:rsid w:val="004B7804"/>
    <w:rsid w:val="004C58B5"/>
    <w:rsid w:val="004D3186"/>
    <w:rsid w:val="004D483B"/>
    <w:rsid w:val="004F66BA"/>
    <w:rsid w:val="00504E59"/>
    <w:rsid w:val="00505632"/>
    <w:rsid w:val="0051507A"/>
    <w:rsid w:val="005173EC"/>
    <w:rsid w:val="00543BC2"/>
    <w:rsid w:val="0055229F"/>
    <w:rsid w:val="005529E2"/>
    <w:rsid w:val="00553B92"/>
    <w:rsid w:val="005541B1"/>
    <w:rsid w:val="005C33D2"/>
    <w:rsid w:val="005E25CE"/>
    <w:rsid w:val="005F262D"/>
    <w:rsid w:val="00612189"/>
    <w:rsid w:val="00647E53"/>
    <w:rsid w:val="00671E69"/>
    <w:rsid w:val="0068053B"/>
    <w:rsid w:val="0068204F"/>
    <w:rsid w:val="00686BCF"/>
    <w:rsid w:val="00691D7F"/>
    <w:rsid w:val="006933A4"/>
    <w:rsid w:val="006A6293"/>
    <w:rsid w:val="006B15EE"/>
    <w:rsid w:val="006B1BCD"/>
    <w:rsid w:val="006B4280"/>
    <w:rsid w:val="006B4DBC"/>
    <w:rsid w:val="006C2A3C"/>
    <w:rsid w:val="006E4C7D"/>
    <w:rsid w:val="006F6E5B"/>
    <w:rsid w:val="00703D6A"/>
    <w:rsid w:val="00726E6C"/>
    <w:rsid w:val="00737601"/>
    <w:rsid w:val="0075150A"/>
    <w:rsid w:val="00755CD4"/>
    <w:rsid w:val="00772B2B"/>
    <w:rsid w:val="00786AB7"/>
    <w:rsid w:val="00787114"/>
    <w:rsid w:val="00792986"/>
    <w:rsid w:val="00792F99"/>
    <w:rsid w:val="007963CE"/>
    <w:rsid w:val="00797497"/>
    <w:rsid w:val="007C57C3"/>
    <w:rsid w:val="008209E7"/>
    <w:rsid w:val="0082356B"/>
    <w:rsid w:val="008256DD"/>
    <w:rsid w:val="008346A1"/>
    <w:rsid w:val="00846F03"/>
    <w:rsid w:val="0085453F"/>
    <w:rsid w:val="00857EEE"/>
    <w:rsid w:val="008769DA"/>
    <w:rsid w:val="0087733C"/>
    <w:rsid w:val="008809D0"/>
    <w:rsid w:val="0088125C"/>
    <w:rsid w:val="00896DA2"/>
    <w:rsid w:val="008972D9"/>
    <w:rsid w:val="008A032D"/>
    <w:rsid w:val="008A5F7E"/>
    <w:rsid w:val="008B5483"/>
    <w:rsid w:val="008C6A81"/>
    <w:rsid w:val="008D6FCA"/>
    <w:rsid w:val="00905E39"/>
    <w:rsid w:val="0091051A"/>
    <w:rsid w:val="00911575"/>
    <w:rsid w:val="00914B6A"/>
    <w:rsid w:val="00967DF8"/>
    <w:rsid w:val="00990BBB"/>
    <w:rsid w:val="00990DC5"/>
    <w:rsid w:val="009A360B"/>
    <w:rsid w:val="009B3C2E"/>
    <w:rsid w:val="009C5E0B"/>
    <w:rsid w:val="009D4BF5"/>
    <w:rsid w:val="009D510C"/>
    <w:rsid w:val="009D51D9"/>
    <w:rsid w:val="009E2A97"/>
    <w:rsid w:val="009E47B6"/>
    <w:rsid w:val="00A074A7"/>
    <w:rsid w:val="00A22ED7"/>
    <w:rsid w:val="00A30282"/>
    <w:rsid w:val="00A304A2"/>
    <w:rsid w:val="00A37707"/>
    <w:rsid w:val="00A41B47"/>
    <w:rsid w:val="00A50CE0"/>
    <w:rsid w:val="00A5600C"/>
    <w:rsid w:val="00A74F6B"/>
    <w:rsid w:val="00A76A73"/>
    <w:rsid w:val="00A80A02"/>
    <w:rsid w:val="00A8673A"/>
    <w:rsid w:val="00AA76AC"/>
    <w:rsid w:val="00AB2FD2"/>
    <w:rsid w:val="00AB41E9"/>
    <w:rsid w:val="00AB4867"/>
    <w:rsid w:val="00AB796A"/>
    <w:rsid w:val="00AC3778"/>
    <w:rsid w:val="00AE0B12"/>
    <w:rsid w:val="00AE1C1D"/>
    <w:rsid w:val="00AF6D70"/>
    <w:rsid w:val="00B0184E"/>
    <w:rsid w:val="00B02A96"/>
    <w:rsid w:val="00B02F16"/>
    <w:rsid w:val="00B5081B"/>
    <w:rsid w:val="00B531FD"/>
    <w:rsid w:val="00B53D4D"/>
    <w:rsid w:val="00B61948"/>
    <w:rsid w:val="00B66A4F"/>
    <w:rsid w:val="00B66E1B"/>
    <w:rsid w:val="00B71668"/>
    <w:rsid w:val="00B74E57"/>
    <w:rsid w:val="00B82B53"/>
    <w:rsid w:val="00B8395C"/>
    <w:rsid w:val="00B8627A"/>
    <w:rsid w:val="00BA4DF7"/>
    <w:rsid w:val="00BB613A"/>
    <w:rsid w:val="00BC4EBF"/>
    <w:rsid w:val="00BC733E"/>
    <w:rsid w:val="00BE31B9"/>
    <w:rsid w:val="00BE5C88"/>
    <w:rsid w:val="00BF22A8"/>
    <w:rsid w:val="00BF2D23"/>
    <w:rsid w:val="00C01652"/>
    <w:rsid w:val="00C076CA"/>
    <w:rsid w:val="00C25ABE"/>
    <w:rsid w:val="00C26879"/>
    <w:rsid w:val="00C27FA1"/>
    <w:rsid w:val="00C363D9"/>
    <w:rsid w:val="00C63F95"/>
    <w:rsid w:val="00C65266"/>
    <w:rsid w:val="00CA3AEC"/>
    <w:rsid w:val="00CC4B59"/>
    <w:rsid w:val="00CF7DBE"/>
    <w:rsid w:val="00D11A60"/>
    <w:rsid w:val="00D44A75"/>
    <w:rsid w:val="00D61549"/>
    <w:rsid w:val="00D74AF6"/>
    <w:rsid w:val="00DA1D47"/>
    <w:rsid w:val="00DA27B2"/>
    <w:rsid w:val="00DC292A"/>
    <w:rsid w:val="00DD403C"/>
    <w:rsid w:val="00DD433E"/>
    <w:rsid w:val="00DF0865"/>
    <w:rsid w:val="00DF0918"/>
    <w:rsid w:val="00E0440F"/>
    <w:rsid w:val="00E16AC7"/>
    <w:rsid w:val="00E27923"/>
    <w:rsid w:val="00E33596"/>
    <w:rsid w:val="00E35A71"/>
    <w:rsid w:val="00E472C7"/>
    <w:rsid w:val="00E82F1E"/>
    <w:rsid w:val="00E8792A"/>
    <w:rsid w:val="00E904E3"/>
    <w:rsid w:val="00E97200"/>
    <w:rsid w:val="00EC0F6E"/>
    <w:rsid w:val="00ED7D34"/>
    <w:rsid w:val="00EF1214"/>
    <w:rsid w:val="00EF7481"/>
    <w:rsid w:val="00F0607E"/>
    <w:rsid w:val="00F17865"/>
    <w:rsid w:val="00F3615A"/>
    <w:rsid w:val="00F41318"/>
    <w:rsid w:val="00F65C44"/>
    <w:rsid w:val="00F6669E"/>
    <w:rsid w:val="00F86E1C"/>
    <w:rsid w:val="00FA399A"/>
    <w:rsid w:val="00FB276F"/>
    <w:rsid w:val="00FC158B"/>
    <w:rsid w:val="00FC6408"/>
    <w:rsid w:val="00FC6522"/>
    <w:rsid w:val="00FD4A43"/>
    <w:rsid w:val="00FF6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5F7223B"/>
  <w15:chartTrackingRefBased/>
  <w15:docId w15:val="{044B649B-4EDC-42B1-A7E0-F412DF71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0BC1"/>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link w:val="FuzeileZchn"/>
    <w:uiPriority w:val="99"/>
    <w:pPr>
      <w:tabs>
        <w:tab w:val="center" w:pos="4819"/>
        <w:tab w:val="right" w:pos="9071"/>
      </w:tabs>
    </w:pPr>
  </w:style>
  <w:style w:type="character" w:styleId="Hyperlink">
    <w:name w:val="Hyperlink"/>
    <w:rPr>
      <w:color w:val="0000FF"/>
      <w:u w:val="single"/>
    </w:rPr>
  </w:style>
  <w:style w:type="character" w:styleId="BesuchterHyperlink">
    <w:name w:val="BesuchterHyperlink"/>
    <w:rPr>
      <w:color w:val="800080"/>
      <w:u w:val="single"/>
    </w:rPr>
  </w:style>
  <w:style w:type="paragraph" w:styleId="Kopfzeile">
    <w:name w:val="header"/>
    <w:basedOn w:val="Standard"/>
    <w:rsid w:val="00FB276F"/>
    <w:pPr>
      <w:tabs>
        <w:tab w:val="center" w:pos="4536"/>
        <w:tab w:val="right" w:pos="9072"/>
      </w:tabs>
    </w:pPr>
  </w:style>
  <w:style w:type="paragraph" w:styleId="Sprechblasentext">
    <w:name w:val="Balloon Text"/>
    <w:basedOn w:val="Standard"/>
    <w:semiHidden/>
    <w:rsid w:val="006933A4"/>
    <w:rPr>
      <w:rFonts w:ascii="Tahoma" w:hAnsi="Tahoma" w:cs="Tahoma"/>
      <w:sz w:val="16"/>
      <w:szCs w:val="16"/>
    </w:rPr>
  </w:style>
  <w:style w:type="character" w:customStyle="1" w:styleId="FuzeileZchn">
    <w:name w:val="Fußzeile Zchn"/>
    <w:basedOn w:val="Absatz-Standardschriftart"/>
    <w:link w:val="Fuzeile"/>
    <w:uiPriority w:val="99"/>
    <w:rsid w:val="00FC158B"/>
  </w:style>
  <w:style w:type="character" w:styleId="NichtaufgelsteErwhnung">
    <w:name w:val="Unresolved Mention"/>
    <w:uiPriority w:val="99"/>
    <w:semiHidden/>
    <w:unhideWhenUsed/>
    <w:rsid w:val="00B74E57"/>
    <w:rPr>
      <w:color w:val="605E5C"/>
      <w:shd w:val="clear" w:color="auto" w:fill="E1DFDD"/>
    </w:rPr>
  </w:style>
  <w:style w:type="table" w:styleId="Tabellenraster">
    <w:name w:val="Table Grid"/>
    <w:basedOn w:val="NormaleTabelle"/>
    <w:rsid w:val="00DA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7295">
      <w:bodyDiv w:val="1"/>
      <w:marLeft w:val="0"/>
      <w:marRight w:val="0"/>
      <w:marTop w:val="0"/>
      <w:marBottom w:val="0"/>
      <w:divBdr>
        <w:top w:val="none" w:sz="0" w:space="0" w:color="auto"/>
        <w:left w:val="none" w:sz="0" w:space="0" w:color="auto"/>
        <w:bottom w:val="none" w:sz="0" w:space="0" w:color="auto"/>
        <w:right w:val="none" w:sz="0" w:space="0" w:color="auto"/>
      </w:divBdr>
    </w:div>
    <w:div w:id="412240953">
      <w:bodyDiv w:val="1"/>
      <w:marLeft w:val="0"/>
      <w:marRight w:val="0"/>
      <w:marTop w:val="0"/>
      <w:marBottom w:val="0"/>
      <w:divBdr>
        <w:top w:val="none" w:sz="0" w:space="0" w:color="auto"/>
        <w:left w:val="none" w:sz="0" w:space="0" w:color="auto"/>
        <w:bottom w:val="none" w:sz="0" w:space="0" w:color="auto"/>
        <w:right w:val="none" w:sz="0" w:space="0" w:color="auto"/>
      </w:divBdr>
    </w:div>
    <w:div w:id="1260672705">
      <w:bodyDiv w:val="1"/>
      <w:marLeft w:val="0"/>
      <w:marRight w:val="0"/>
      <w:marTop w:val="0"/>
      <w:marBottom w:val="0"/>
      <w:divBdr>
        <w:top w:val="none" w:sz="0" w:space="0" w:color="auto"/>
        <w:left w:val="none" w:sz="0" w:space="0" w:color="auto"/>
        <w:bottom w:val="none" w:sz="0" w:space="0" w:color="auto"/>
        <w:right w:val="none" w:sz="0" w:space="0" w:color="auto"/>
      </w:divBdr>
    </w:div>
    <w:div w:id="12987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R\VORLAGEN\MGV.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MGV</Template>
  <TotalTime>0</TotalTime>
  <Pages>3</Pages>
  <Words>1016</Words>
  <Characters>6402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lpstr>
    </vt:vector>
  </TitlesOfParts>
  <Company>EDV</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 Reichert</dc:creator>
  <cp:keywords/>
  <cp:lastModifiedBy>Fabian Sarbacher</cp:lastModifiedBy>
  <cp:revision>2</cp:revision>
  <cp:lastPrinted>2024-01-20T21:48:00Z</cp:lastPrinted>
  <dcterms:created xsi:type="dcterms:W3CDTF">2026-01-16T11:25:00Z</dcterms:created>
  <dcterms:modified xsi:type="dcterms:W3CDTF">2026-01-16T11:25:00Z</dcterms:modified>
</cp:coreProperties>
</file>